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8D93A" w14:textId="77777777" w:rsidR="00334C91" w:rsidRPr="00334C91" w:rsidRDefault="00334C91" w:rsidP="00334C91">
      <w:pPr>
        <w:pStyle w:val="Subtitle"/>
        <w:rPr>
          <w:rFonts w:asciiTheme="majorHAnsi" w:hAnsiTheme="majorHAnsi"/>
          <w:spacing w:val="-10"/>
          <w:kern w:val="28"/>
          <w:sz w:val="48"/>
          <w:szCs w:val="48"/>
        </w:rPr>
      </w:pPr>
      <w:r w:rsidRPr="00334C91">
        <w:rPr>
          <w:rFonts w:asciiTheme="majorHAnsi" w:hAnsiTheme="majorHAnsi"/>
          <w:spacing w:val="-10"/>
          <w:kern w:val="28"/>
          <w:sz w:val="48"/>
          <w:szCs w:val="48"/>
        </w:rPr>
        <w:t>Hepatitis B Vaccination Risk Assessment – Non-Clinical Staff</w:t>
      </w:r>
    </w:p>
    <w:p w14:paraId="63EA7ED0" w14:textId="417FF81B" w:rsidR="00117119" w:rsidRDefault="00117119" w:rsidP="00117119">
      <w:pPr>
        <w:pStyle w:val="Subtitle"/>
      </w:pPr>
      <w:r w:rsidRPr="00B93AB7">
        <w:rPr>
          <w:highlight w:val="yellow"/>
        </w:rPr>
        <w:t>PRACTICE NAME</w:t>
      </w:r>
    </w:p>
    <w:p w14:paraId="360FD166" w14:textId="77777777" w:rsidR="00117119" w:rsidRPr="005E6DA4" w:rsidRDefault="00117119" w:rsidP="00117119">
      <w:pPr>
        <w:rPr>
          <w:rFonts w:cstheme="majorHAnsi"/>
          <w:b/>
          <w:color w:val="002060"/>
          <w:sz w:val="40"/>
          <w:szCs w:val="40"/>
        </w:rPr>
      </w:pPr>
      <w:bookmarkStart w:id="0" w:name="_Toc12261079"/>
      <w:r w:rsidRPr="005E6DA4">
        <w:rPr>
          <w:rFonts w:cstheme="majorHAnsi"/>
          <w:b/>
          <w:color w:val="002060"/>
          <w:sz w:val="40"/>
          <w:szCs w:val="40"/>
        </w:rPr>
        <w:t>Confidentiality</w:t>
      </w:r>
      <w:r w:rsidRPr="005E6DA4">
        <w:rPr>
          <w:rFonts w:cstheme="majorHAnsi"/>
          <w:b/>
          <w:color w:val="002060"/>
          <w:spacing w:val="-24"/>
          <w:sz w:val="40"/>
          <w:szCs w:val="40"/>
        </w:rPr>
        <w:t xml:space="preserve"> </w:t>
      </w:r>
      <w:r w:rsidRPr="005E6DA4">
        <w:rPr>
          <w:rFonts w:cstheme="majorHAnsi"/>
          <w:b/>
          <w:color w:val="002060"/>
          <w:sz w:val="40"/>
          <w:szCs w:val="40"/>
        </w:rPr>
        <w:t>Notice</w:t>
      </w:r>
      <w:bookmarkEnd w:id="0"/>
    </w:p>
    <w:p w14:paraId="17E0F5BF" w14:textId="77777777" w:rsidR="00117119" w:rsidRPr="00AE4AC4" w:rsidRDefault="00117119" w:rsidP="00117119">
      <w:pPr>
        <w:pStyle w:val="BodyText"/>
      </w:pPr>
      <w:r w:rsidRPr="00AE4AC4">
        <w:t xml:space="preserve">This document and the information contained therein is the property of </w:t>
      </w:r>
      <w:r w:rsidRPr="00AE4AC4">
        <w:rPr>
          <w:highlight w:val="yellow"/>
        </w:rPr>
        <w:t>PRACTICE NAME</w:t>
      </w:r>
      <w:r>
        <w:t xml:space="preserve"> </w:t>
      </w:r>
      <w:r w:rsidRPr="005E6DA4">
        <w:rPr>
          <w:rFonts w:asciiTheme="minorHAnsi" w:hAnsiTheme="minorHAnsi" w:cstheme="majorHAnsi"/>
        </w:rPr>
        <w:t xml:space="preserve">further mentioned in this Policy/Protocol as </w:t>
      </w:r>
      <w:r w:rsidRPr="005E6DA4">
        <w:rPr>
          <w:rFonts w:asciiTheme="minorHAnsi" w:hAnsiTheme="minorHAnsi" w:cstheme="majorHAnsi"/>
          <w:b/>
        </w:rPr>
        <w:t>“The Practice”</w:t>
      </w:r>
    </w:p>
    <w:p w14:paraId="2C406300" w14:textId="77777777" w:rsidR="00117119" w:rsidRPr="005E6DA4" w:rsidRDefault="00117119" w:rsidP="00117119">
      <w:pPr>
        <w:pStyle w:val="BodyText"/>
        <w:spacing w:before="8"/>
        <w:rPr>
          <w:rFonts w:asciiTheme="minorHAnsi" w:hAnsiTheme="minorHAnsi" w:cstheme="majorHAnsi"/>
          <w:sz w:val="23"/>
        </w:rPr>
      </w:pPr>
    </w:p>
    <w:p w14:paraId="3D22BCD5" w14:textId="77777777" w:rsidR="00117119" w:rsidRDefault="00117119" w:rsidP="00117119">
      <w:pPr>
        <w:pStyle w:val="BodyText"/>
        <w:spacing w:before="1"/>
        <w:ind w:right="442"/>
        <w:rPr>
          <w:rFonts w:asciiTheme="minorHAnsi" w:hAnsiTheme="minorHAnsi" w:cstheme="majorHAnsi"/>
        </w:rPr>
      </w:pPr>
      <w:r w:rsidRPr="005E6DA4">
        <w:rPr>
          <w:rFonts w:asciiTheme="minorHAnsi" w:hAnsiTheme="minorHAnsi" w:cstheme="majorHAnsi"/>
        </w:rPr>
        <w:t xml:space="preserve">This document contains information that is privileged, confidential or otherwise protected from disclosure. It must not be used by, or its contents reproduced or otherwise copied or disclosed without the prior consent in writing from </w:t>
      </w:r>
      <w:r w:rsidRPr="005E6DA4">
        <w:rPr>
          <w:rFonts w:asciiTheme="minorHAnsi" w:hAnsiTheme="minorHAnsi" w:cstheme="majorHAnsi"/>
          <w:b/>
        </w:rPr>
        <w:t>“The Practice”</w:t>
      </w:r>
      <w:r w:rsidRPr="005E6DA4">
        <w:rPr>
          <w:rFonts w:asciiTheme="minorHAnsi" w:hAnsiTheme="minorHAnsi" w:cstheme="majorHAnsi"/>
        </w:rPr>
        <w:t>.</w:t>
      </w:r>
    </w:p>
    <w:p w14:paraId="78B31C4E" w14:textId="77777777" w:rsidR="00117119" w:rsidRDefault="00117119" w:rsidP="00117119">
      <w:pPr>
        <w:pStyle w:val="BodyText"/>
        <w:spacing w:before="1"/>
        <w:ind w:right="442"/>
        <w:rPr>
          <w:rFonts w:asciiTheme="minorHAnsi" w:hAnsiTheme="minorHAnsi" w:cstheme="majorHAnsi"/>
        </w:rPr>
      </w:pPr>
    </w:p>
    <w:p w14:paraId="0A51CFE1" w14:textId="77777777" w:rsidR="00117119" w:rsidRPr="005E6DA4" w:rsidRDefault="00117119" w:rsidP="00117119">
      <w:pPr>
        <w:rPr>
          <w:rFonts w:cstheme="majorHAnsi"/>
        </w:rPr>
      </w:pPr>
      <w:r w:rsidRPr="005E6DA4">
        <w:rPr>
          <w:rFonts w:cstheme="majorHAnsi"/>
          <w:b/>
          <w:color w:val="002060"/>
          <w:sz w:val="40"/>
          <w:szCs w:val="40"/>
        </w:rPr>
        <w:t>Change Control</w:t>
      </w:r>
      <w:r w:rsidRPr="005E6DA4">
        <w:rPr>
          <w:rFonts w:cstheme="majorHAnsi"/>
        </w:rPr>
        <w:t xml:space="preserve"> </w:t>
      </w:r>
    </w:p>
    <w:tbl>
      <w:tblPr>
        <w:tblW w:w="9264" w:type="dxa"/>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shd w:val="clear" w:color="auto" w:fill="D9D9D9"/>
        <w:tblLook w:val="01E0" w:firstRow="1" w:lastRow="1" w:firstColumn="1" w:lastColumn="1" w:noHBand="0" w:noVBand="0"/>
      </w:tblPr>
      <w:tblGrid>
        <w:gridCol w:w="1044"/>
        <w:gridCol w:w="1472"/>
        <w:gridCol w:w="1328"/>
        <w:gridCol w:w="1239"/>
        <w:gridCol w:w="1405"/>
        <w:gridCol w:w="2776"/>
      </w:tblGrid>
      <w:tr w:rsidR="00117119" w:rsidRPr="005E6DA4" w14:paraId="77C5B371" w14:textId="77777777" w:rsidTr="00F52A5E">
        <w:trPr>
          <w:jc w:val="center"/>
        </w:trPr>
        <w:tc>
          <w:tcPr>
            <w:tcW w:w="765" w:type="dxa"/>
            <w:tcBorders>
              <w:top w:val="single" w:sz="4" w:space="0" w:color="333333"/>
              <w:left w:val="single" w:sz="4" w:space="0" w:color="333333"/>
              <w:bottom w:val="single" w:sz="4" w:space="0" w:color="333333"/>
              <w:right w:val="single" w:sz="4" w:space="0" w:color="333333"/>
            </w:tcBorders>
            <w:shd w:val="clear" w:color="auto" w:fill="83CAEB" w:themeFill="accent1" w:themeFillTint="66"/>
            <w:hideMark/>
          </w:tcPr>
          <w:p w14:paraId="7FA0A1CF" w14:textId="77777777" w:rsidR="00117119" w:rsidRPr="005E6DA4" w:rsidRDefault="00117119" w:rsidP="00F52A5E">
            <w:pPr>
              <w:ind w:firstLine="25"/>
              <w:jc w:val="center"/>
              <w:rPr>
                <w:rFonts w:eastAsia="Arial" w:cs="Arial"/>
                <w:b/>
                <w:spacing w:val="-2"/>
              </w:rPr>
            </w:pPr>
            <w:r w:rsidRPr="005E6DA4">
              <w:rPr>
                <w:rFonts w:eastAsia="Arial" w:cs="Arial"/>
                <w:b/>
                <w:spacing w:val="-2"/>
              </w:rPr>
              <w:t>Version:</w:t>
            </w:r>
          </w:p>
        </w:tc>
        <w:tc>
          <w:tcPr>
            <w:tcW w:w="1486" w:type="dxa"/>
            <w:tcBorders>
              <w:top w:val="single" w:sz="4" w:space="0" w:color="333333"/>
              <w:left w:val="single" w:sz="4" w:space="0" w:color="333333"/>
              <w:bottom w:val="single" w:sz="4" w:space="0" w:color="333333"/>
              <w:right w:val="single" w:sz="4" w:space="0" w:color="333333"/>
            </w:tcBorders>
            <w:shd w:val="clear" w:color="auto" w:fill="83CAEB" w:themeFill="accent1" w:themeFillTint="66"/>
            <w:hideMark/>
          </w:tcPr>
          <w:p w14:paraId="506C6F72" w14:textId="77777777" w:rsidR="00117119" w:rsidRPr="005E6DA4" w:rsidRDefault="00117119" w:rsidP="00F52A5E">
            <w:pPr>
              <w:jc w:val="center"/>
              <w:rPr>
                <w:rFonts w:eastAsia="Arial" w:cs="Arial"/>
                <w:b/>
                <w:spacing w:val="-2"/>
              </w:rPr>
            </w:pPr>
            <w:r w:rsidRPr="005E6DA4">
              <w:rPr>
                <w:rFonts w:eastAsia="Arial" w:cs="Arial"/>
                <w:b/>
                <w:spacing w:val="-2"/>
              </w:rPr>
              <w:t>Review date:</w:t>
            </w:r>
          </w:p>
        </w:tc>
        <w:tc>
          <w:tcPr>
            <w:tcW w:w="1425" w:type="dxa"/>
            <w:tcBorders>
              <w:top w:val="single" w:sz="4" w:space="0" w:color="333333"/>
              <w:left w:val="single" w:sz="4" w:space="0" w:color="333333"/>
              <w:bottom w:val="single" w:sz="4" w:space="0" w:color="333333"/>
              <w:right w:val="single" w:sz="4" w:space="0" w:color="333333"/>
            </w:tcBorders>
            <w:shd w:val="clear" w:color="auto" w:fill="83CAEB" w:themeFill="accent1" w:themeFillTint="66"/>
            <w:hideMark/>
          </w:tcPr>
          <w:p w14:paraId="6AFC3BF5" w14:textId="77777777" w:rsidR="00117119" w:rsidRPr="005E6DA4" w:rsidRDefault="00117119" w:rsidP="00F52A5E">
            <w:pPr>
              <w:jc w:val="center"/>
              <w:rPr>
                <w:rFonts w:eastAsia="Arial" w:cs="Arial"/>
                <w:b/>
                <w:spacing w:val="-2"/>
              </w:rPr>
            </w:pPr>
            <w:r w:rsidRPr="005E6DA4">
              <w:rPr>
                <w:rFonts w:eastAsia="Arial" w:cs="Arial"/>
                <w:b/>
                <w:spacing w:val="-2"/>
              </w:rPr>
              <w:t>Edited</w:t>
            </w:r>
          </w:p>
          <w:p w14:paraId="69951425" w14:textId="77777777" w:rsidR="00117119" w:rsidRPr="005E6DA4" w:rsidRDefault="00117119" w:rsidP="00F52A5E">
            <w:pPr>
              <w:jc w:val="center"/>
              <w:rPr>
                <w:rFonts w:eastAsia="Arial" w:cs="Arial"/>
                <w:b/>
                <w:spacing w:val="-2"/>
              </w:rPr>
            </w:pPr>
            <w:r w:rsidRPr="005E6DA4">
              <w:rPr>
                <w:rFonts w:eastAsia="Arial" w:cs="Arial"/>
                <w:b/>
                <w:spacing w:val="-2"/>
              </w:rPr>
              <w:t>By:</w:t>
            </w:r>
          </w:p>
        </w:tc>
        <w:tc>
          <w:tcPr>
            <w:tcW w:w="1255" w:type="dxa"/>
            <w:tcBorders>
              <w:top w:val="single" w:sz="4" w:space="0" w:color="333333"/>
              <w:left w:val="single" w:sz="4" w:space="0" w:color="333333"/>
              <w:right w:val="single" w:sz="4" w:space="0" w:color="333333"/>
            </w:tcBorders>
            <w:shd w:val="clear" w:color="auto" w:fill="83CAEB" w:themeFill="accent1" w:themeFillTint="66"/>
          </w:tcPr>
          <w:p w14:paraId="1732D03F" w14:textId="77777777" w:rsidR="00117119" w:rsidRPr="005E6DA4" w:rsidRDefault="00117119" w:rsidP="00F52A5E">
            <w:pPr>
              <w:jc w:val="center"/>
              <w:rPr>
                <w:rFonts w:eastAsia="Arial" w:cs="Arial"/>
                <w:b/>
                <w:spacing w:val="-2"/>
              </w:rPr>
            </w:pPr>
            <w:r w:rsidRPr="005E6DA4">
              <w:rPr>
                <w:rFonts w:eastAsia="Arial" w:cs="Arial"/>
                <w:b/>
                <w:spacing w:val="-2"/>
              </w:rPr>
              <w:t>Approved By:</w:t>
            </w:r>
          </w:p>
        </w:tc>
        <w:tc>
          <w:tcPr>
            <w:tcW w:w="1275" w:type="dxa"/>
            <w:tcBorders>
              <w:top w:val="single" w:sz="4" w:space="0" w:color="333333"/>
              <w:left w:val="single" w:sz="4" w:space="0" w:color="333333"/>
              <w:right w:val="single" w:sz="4" w:space="0" w:color="333333"/>
            </w:tcBorders>
            <w:shd w:val="clear" w:color="auto" w:fill="83CAEB" w:themeFill="accent1" w:themeFillTint="66"/>
          </w:tcPr>
          <w:p w14:paraId="136BBD95" w14:textId="77777777" w:rsidR="00117119" w:rsidRPr="005E6DA4" w:rsidRDefault="00117119" w:rsidP="00F52A5E">
            <w:pPr>
              <w:jc w:val="center"/>
              <w:rPr>
                <w:rFonts w:eastAsia="Arial" w:cs="Arial"/>
                <w:b/>
                <w:spacing w:val="-2"/>
              </w:rPr>
            </w:pPr>
            <w:r w:rsidRPr="005E6DA4">
              <w:rPr>
                <w:rFonts w:eastAsia="Arial" w:cs="Arial"/>
                <w:b/>
                <w:spacing w:val="-2"/>
              </w:rPr>
              <w:t>Next Review:</w:t>
            </w:r>
          </w:p>
        </w:tc>
        <w:tc>
          <w:tcPr>
            <w:tcW w:w="3058" w:type="dxa"/>
            <w:tcBorders>
              <w:top w:val="single" w:sz="4" w:space="0" w:color="333333"/>
              <w:left w:val="single" w:sz="4" w:space="0" w:color="333333"/>
              <w:bottom w:val="single" w:sz="4" w:space="0" w:color="333333"/>
              <w:right w:val="single" w:sz="4" w:space="0" w:color="333333"/>
            </w:tcBorders>
            <w:shd w:val="clear" w:color="auto" w:fill="83CAEB" w:themeFill="accent1" w:themeFillTint="66"/>
            <w:hideMark/>
          </w:tcPr>
          <w:p w14:paraId="2754B58D" w14:textId="77777777" w:rsidR="00117119" w:rsidRPr="005E6DA4" w:rsidRDefault="00117119" w:rsidP="00F52A5E">
            <w:pPr>
              <w:jc w:val="center"/>
              <w:rPr>
                <w:rFonts w:eastAsia="Arial" w:cs="Arial"/>
                <w:b/>
                <w:spacing w:val="-2"/>
              </w:rPr>
            </w:pPr>
            <w:r w:rsidRPr="005E6DA4">
              <w:rPr>
                <w:rFonts w:eastAsia="Arial" w:cs="Arial"/>
                <w:b/>
                <w:spacing w:val="-2"/>
              </w:rPr>
              <w:t>Comments:</w:t>
            </w:r>
          </w:p>
        </w:tc>
      </w:tr>
      <w:tr w:rsidR="00117119" w:rsidRPr="005E6DA4" w14:paraId="52C390CD" w14:textId="77777777" w:rsidTr="00F52A5E">
        <w:trPr>
          <w:jc w:val="center"/>
        </w:trPr>
        <w:tc>
          <w:tcPr>
            <w:tcW w:w="765" w:type="dxa"/>
            <w:tcBorders>
              <w:top w:val="single" w:sz="4" w:space="0" w:color="333333"/>
              <w:left w:val="single" w:sz="4" w:space="0" w:color="333333"/>
              <w:bottom w:val="single" w:sz="4" w:space="0" w:color="333333"/>
              <w:right w:val="single" w:sz="4" w:space="0" w:color="333333"/>
            </w:tcBorders>
          </w:tcPr>
          <w:p w14:paraId="7681F25B" w14:textId="77777777" w:rsidR="00117119" w:rsidRPr="005E6DA4" w:rsidRDefault="00117119" w:rsidP="00F52A5E">
            <w:pPr>
              <w:jc w:val="center"/>
              <w:rPr>
                <w:rFonts w:eastAsia="Arial" w:cs="Arial"/>
                <w:spacing w:val="-2"/>
              </w:rPr>
            </w:pPr>
            <w:r w:rsidRPr="005E6DA4">
              <w:rPr>
                <w:rFonts w:eastAsia="Arial" w:cs="Arial"/>
                <w:spacing w:val="-2"/>
              </w:rPr>
              <w:t>1.0</w:t>
            </w:r>
          </w:p>
        </w:tc>
        <w:tc>
          <w:tcPr>
            <w:tcW w:w="1486" w:type="dxa"/>
            <w:tcBorders>
              <w:top w:val="single" w:sz="4" w:space="0" w:color="333333"/>
              <w:left w:val="single" w:sz="4" w:space="0" w:color="333333"/>
              <w:bottom w:val="single" w:sz="4" w:space="0" w:color="333333"/>
              <w:right w:val="single" w:sz="4" w:space="0" w:color="333333"/>
            </w:tcBorders>
          </w:tcPr>
          <w:p w14:paraId="723B7415" w14:textId="77777777" w:rsidR="00117119" w:rsidRPr="005E6DA4" w:rsidRDefault="00117119" w:rsidP="00F52A5E">
            <w:pPr>
              <w:jc w:val="center"/>
              <w:rPr>
                <w:rFonts w:eastAsia="Arial" w:cs="Arial"/>
                <w:spacing w:val="-2"/>
              </w:rPr>
            </w:pPr>
            <w:r>
              <w:rPr>
                <w:rFonts w:cstheme="majorHAnsi"/>
                <w:sz w:val="24"/>
              </w:rPr>
              <w:t>06/01/2026</w:t>
            </w:r>
          </w:p>
        </w:tc>
        <w:tc>
          <w:tcPr>
            <w:tcW w:w="1425" w:type="dxa"/>
            <w:tcBorders>
              <w:top w:val="single" w:sz="4" w:space="0" w:color="333333"/>
              <w:left w:val="single" w:sz="4" w:space="0" w:color="333333"/>
              <w:bottom w:val="single" w:sz="4" w:space="0" w:color="333333"/>
              <w:right w:val="single" w:sz="4" w:space="0" w:color="333333"/>
            </w:tcBorders>
          </w:tcPr>
          <w:p w14:paraId="6DE1408A" w14:textId="77777777" w:rsidR="00117119" w:rsidRPr="005E6DA4" w:rsidRDefault="00117119" w:rsidP="00F52A5E">
            <w:pPr>
              <w:jc w:val="center"/>
              <w:rPr>
                <w:rFonts w:eastAsia="Arial" w:cs="Arial"/>
                <w:spacing w:val="-2"/>
              </w:rPr>
            </w:pPr>
            <w:r>
              <w:rPr>
                <w:rFonts w:eastAsia="Arial" w:cs="Arial"/>
                <w:spacing w:val="-2"/>
              </w:rPr>
              <w:t>BH</w:t>
            </w:r>
          </w:p>
        </w:tc>
        <w:tc>
          <w:tcPr>
            <w:tcW w:w="1255" w:type="dxa"/>
            <w:tcBorders>
              <w:left w:val="single" w:sz="4" w:space="0" w:color="333333"/>
              <w:right w:val="single" w:sz="4" w:space="0" w:color="333333"/>
            </w:tcBorders>
          </w:tcPr>
          <w:p w14:paraId="7575D229" w14:textId="77777777" w:rsidR="00117119" w:rsidRPr="005E6DA4" w:rsidRDefault="00117119" w:rsidP="00F52A5E">
            <w:pPr>
              <w:jc w:val="center"/>
              <w:rPr>
                <w:rFonts w:eastAsia="Arial" w:cs="Arial"/>
                <w:spacing w:val="-2"/>
              </w:rPr>
            </w:pPr>
            <w:r>
              <w:rPr>
                <w:rFonts w:eastAsia="Arial" w:cs="Arial"/>
                <w:spacing w:val="-2"/>
              </w:rPr>
              <w:t>BH</w:t>
            </w:r>
          </w:p>
        </w:tc>
        <w:tc>
          <w:tcPr>
            <w:tcW w:w="1275" w:type="dxa"/>
            <w:tcBorders>
              <w:left w:val="single" w:sz="4" w:space="0" w:color="333333"/>
              <w:right w:val="single" w:sz="4" w:space="0" w:color="333333"/>
            </w:tcBorders>
          </w:tcPr>
          <w:p w14:paraId="440C5B9E" w14:textId="77777777" w:rsidR="00117119" w:rsidRPr="005E6DA4" w:rsidRDefault="00117119" w:rsidP="00F52A5E">
            <w:pPr>
              <w:jc w:val="center"/>
              <w:rPr>
                <w:rFonts w:eastAsia="Arial" w:cs="Arial"/>
                <w:spacing w:val="-2"/>
              </w:rPr>
            </w:pPr>
            <w:r>
              <w:rPr>
                <w:rFonts w:cstheme="majorHAnsi"/>
                <w:sz w:val="24"/>
              </w:rPr>
              <w:t>06/01/2027</w:t>
            </w:r>
          </w:p>
        </w:tc>
        <w:tc>
          <w:tcPr>
            <w:tcW w:w="3058" w:type="dxa"/>
            <w:tcBorders>
              <w:top w:val="single" w:sz="4" w:space="0" w:color="333333"/>
              <w:left w:val="single" w:sz="4" w:space="0" w:color="333333"/>
              <w:bottom w:val="single" w:sz="4" w:space="0" w:color="333333"/>
              <w:right w:val="single" w:sz="4" w:space="0" w:color="333333"/>
            </w:tcBorders>
          </w:tcPr>
          <w:p w14:paraId="29238575" w14:textId="77777777" w:rsidR="00117119" w:rsidRPr="005E6DA4" w:rsidRDefault="00117119" w:rsidP="00F52A5E">
            <w:pPr>
              <w:jc w:val="center"/>
              <w:rPr>
                <w:rFonts w:cs="Arial"/>
              </w:rPr>
            </w:pPr>
            <w:r>
              <w:rPr>
                <w:rFonts w:cs="Arial"/>
              </w:rPr>
              <w:t>First Version</w:t>
            </w:r>
          </w:p>
        </w:tc>
      </w:tr>
    </w:tbl>
    <w:p w14:paraId="3396E443" w14:textId="77777777" w:rsidR="00117119" w:rsidRPr="00AE4AC4" w:rsidRDefault="00117119" w:rsidP="00117119">
      <w:pPr>
        <w:pStyle w:val="BodyText"/>
        <w:spacing w:before="1"/>
        <w:ind w:right="442"/>
        <w:rPr>
          <w:rFonts w:asciiTheme="minorHAnsi" w:hAnsiTheme="minorHAnsi" w:cstheme="majorHAnsi"/>
        </w:rPr>
      </w:pPr>
    </w:p>
    <w:p w14:paraId="3EBFA55F" w14:textId="77777777" w:rsidR="00117119" w:rsidRPr="005E6DA4" w:rsidRDefault="00117119" w:rsidP="00117119">
      <w:pPr>
        <w:rPr>
          <w:rFonts w:cstheme="majorHAnsi"/>
          <w:b/>
          <w:color w:val="002060"/>
          <w:sz w:val="40"/>
          <w:szCs w:val="40"/>
        </w:rPr>
      </w:pPr>
      <w:bookmarkStart w:id="1" w:name="_Toc12261080"/>
      <w:r w:rsidRPr="005E6DA4">
        <w:rPr>
          <w:rFonts w:cstheme="majorHAnsi"/>
          <w:b/>
          <w:color w:val="002060"/>
          <w:sz w:val="40"/>
          <w:szCs w:val="40"/>
        </w:rPr>
        <w:t>Document Details</w:t>
      </w:r>
      <w:bookmarkEnd w:id="1"/>
    </w:p>
    <w:p w14:paraId="59380ED8" w14:textId="77777777" w:rsidR="00117119" w:rsidRPr="005E6DA4" w:rsidRDefault="00117119" w:rsidP="00117119">
      <w:pPr>
        <w:pStyle w:val="BodyText"/>
        <w:spacing w:before="5"/>
        <w:rPr>
          <w:rFonts w:asciiTheme="minorHAnsi" w:hAnsiTheme="minorHAnsi" w:cstheme="majorHAnsi"/>
          <w:b/>
          <w:sz w:val="20"/>
        </w:rPr>
      </w:pPr>
    </w:p>
    <w:tbl>
      <w:tblPr>
        <w:tblW w:w="9072" w:type="dxa"/>
        <w:tblInd w:w="-15" w:type="dxa"/>
        <w:tblBorders>
          <w:top w:val="single" w:sz="12" w:space="0" w:color="333333"/>
          <w:left w:val="single" w:sz="12" w:space="0" w:color="333333"/>
          <w:bottom w:val="single" w:sz="12" w:space="0" w:color="333333"/>
          <w:right w:val="single" w:sz="12" w:space="0" w:color="333333"/>
          <w:insideH w:val="single" w:sz="12" w:space="0" w:color="333333"/>
          <w:insideV w:val="single" w:sz="12" w:space="0" w:color="333333"/>
        </w:tblBorders>
        <w:tblLayout w:type="fixed"/>
        <w:tblCellMar>
          <w:left w:w="0" w:type="dxa"/>
          <w:right w:w="0" w:type="dxa"/>
        </w:tblCellMar>
        <w:tblLook w:val="01E0" w:firstRow="1" w:lastRow="1" w:firstColumn="1" w:lastColumn="1" w:noHBand="0" w:noVBand="0"/>
      </w:tblPr>
      <w:tblGrid>
        <w:gridCol w:w="3686"/>
        <w:gridCol w:w="5386"/>
      </w:tblGrid>
      <w:tr w:rsidR="00C57712" w:rsidRPr="005E6DA4" w14:paraId="6B0104A2" w14:textId="77777777" w:rsidTr="00CD2387">
        <w:trPr>
          <w:trHeight w:val="517"/>
        </w:trPr>
        <w:tc>
          <w:tcPr>
            <w:tcW w:w="3686" w:type="dxa"/>
            <w:tcBorders>
              <w:bottom w:val="single" w:sz="6" w:space="0" w:color="333333"/>
              <w:right w:val="single" w:sz="6" w:space="0" w:color="333333"/>
            </w:tcBorders>
            <w:shd w:val="clear" w:color="auto" w:fill="C5D9F0"/>
          </w:tcPr>
          <w:p w14:paraId="569E4C6F" w14:textId="77777777" w:rsidR="00C57712" w:rsidRPr="005E6DA4" w:rsidRDefault="00C57712" w:rsidP="00C57712">
            <w:pPr>
              <w:pStyle w:val="TableParagraph"/>
              <w:spacing w:before="111"/>
              <w:ind w:left="107"/>
              <w:rPr>
                <w:rFonts w:asciiTheme="minorHAnsi" w:hAnsiTheme="minorHAnsi" w:cstheme="majorHAnsi"/>
                <w:b/>
                <w:sz w:val="24"/>
              </w:rPr>
            </w:pPr>
            <w:r w:rsidRPr="005E6DA4">
              <w:rPr>
                <w:rFonts w:asciiTheme="minorHAnsi" w:hAnsiTheme="minorHAnsi" w:cstheme="majorHAnsi"/>
                <w:b/>
                <w:sz w:val="24"/>
              </w:rPr>
              <w:t>Title</w:t>
            </w:r>
          </w:p>
        </w:tc>
        <w:tc>
          <w:tcPr>
            <w:tcW w:w="5386" w:type="dxa"/>
            <w:tcBorders>
              <w:left w:val="single" w:sz="6" w:space="0" w:color="333333"/>
              <w:bottom w:val="single" w:sz="6" w:space="0" w:color="333333"/>
            </w:tcBorders>
          </w:tcPr>
          <w:p w14:paraId="11E7219B" w14:textId="3559B7E6" w:rsidR="00C57712" w:rsidRPr="00C57712" w:rsidRDefault="00C57712" w:rsidP="00C57712">
            <w:pPr>
              <w:pStyle w:val="TableParagraph"/>
              <w:spacing w:before="111"/>
              <w:ind w:left="114"/>
              <w:rPr>
                <w:rFonts w:asciiTheme="minorHAnsi" w:hAnsiTheme="minorHAnsi" w:cstheme="majorHAnsi"/>
                <w:b/>
                <w:bCs/>
                <w:lang w:val="en-GB"/>
              </w:rPr>
            </w:pPr>
            <w:r w:rsidRPr="00C57712">
              <w:rPr>
                <w:b/>
                <w:bCs/>
              </w:rPr>
              <w:t>Risk Assessment – Hepatitis B Vaccination for Non-Clinical Staff</w:t>
            </w:r>
          </w:p>
        </w:tc>
      </w:tr>
      <w:tr w:rsidR="00C57712" w:rsidRPr="005E6DA4" w14:paraId="0624CF5B" w14:textId="77777777" w:rsidTr="00CD2387">
        <w:trPr>
          <w:trHeight w:val="520"/>
        </w:trPr>
        <w:tc>
          <w:tcPr>
            <w:tcW w:w="3686" w:type="dxa"/>
            <w:tcBorders>
              <w:top w:val="single" w:sz="6" w:space="0" w:color="333333"/>
              <w:bottom w:val="single" w:sz="6" w:space="0" w:color="333333"/>
              <w:right w:val="single" w:sz="6" w:space="0" w:color="333333"/>
            </w:tcBorders>
            <w:shd w:val="clear" w:color="auto" w:fill="C5D9F0"/>
          </w:tcPr>
          <w:p w14:paraId="211BA613" w14:textId="77777777" w:rsidR="00C57712" w:rsidRPr="005E6DA4" w:rsidRDefault="00C57712" w:rsidP="00C57712">
            <w:pPr>
              <w:pStyle w:val="TableParagraph"/>
              <w:spacing w:before="114"/>
              <w:ind w:left="107"/>
              <w:rPr>
                <w:rFonts w:asciiTheme="minorHAnsi" w:hAnsiTheme="minorHAnsi" w:cstheme="majorHAnsi"/>
                <w:b/>
                <w:sz w:val="24"/>
              </w:rPr>
            </w:pPr>
            <w:r w:rsidRPr="005E6DA4">
              <w:rPr>
                <w:rFonts w:asciiTheme="minorHAnsi" w:hAnsiTheme="minorHAnsi" w:cstheme="majorHAnsi"/>
                <w:b/>
                <w:sz w:val="24"/>
              </w:rPr>
              <w:t>Classification</w:t>
            </w:r>
          </w:p>
        </w:tc>
        <w:tc>
          <w:tcPr>
            <w:tcW w:w="5386" w:type="dxa"/>
            <w:tcBorders>
              <w:top w:val="single" w:sz="6" w:space="0" w:color="333333"/>
              <w:left w:val="single" w:sz="6" w:space="0" w:color="333333"/>
              <w:bottom w:val="single" w:sz="6" w:space="0" w:color="333333"/>
            </w:tcBorders>
          </w:tcPr>
          <w:p w14:paraId="3CBEFE0B" w14:textId="77777777" w:rsidR="00C57712" w:rsidRPr="005E6DA4" w:rsidRDefault="00C57712" w:rsidP="00C57712">
            <w:pPr>
              <w:pStyle w:val="TableParagraph"/>
              <w:spacing w:before="114"/>
              <w:ind w:left="114"/>
              <w:rPr>
                <w:rFonts w:asciiTheme="minorHAnsi" w:hAnsiTheme="minorHAnsi" w:cstheme="majorHAnsi"/>
                <w:sz w:val="24"/>
              </w:rPr>
            </w:pPr>
            <w:r w:rsidRPr="005E6DA4">
              <w:rPr>
                <w:rFonts w:asciiTheme="minorHAnsi" w:hAnsiTheme="minorHAnsi" w:cstheme="majorHAnsi"/>
                <w:sz w:val="24"/>
              </w:rPr>
              <w:t>Confidential</w:t>
            </w:r>
          </w:p>
        </w:tc>
      </w:tr>
      <w:tr w:rsidR="00C57712" w:rsidRPr="005E6DA4" w14:paraId="69B21287" w14:textId="77777777" w:rsidTr="00CD2387">
        <w:trPr>
          <w:trHeight w:val="517"/>
        </w:trPr>
        <w:tc>
          <w:tcPr>
            <w:tcW w:w="3686" w:type="dxa"/>
            <w:tcBorders>
              <w:top w:val="single" w:sz="6" w:space="0" w:color="333333"/>
              <w:bottom w:val="single" w:sz="6" w:space="0" w:color="333333"/>
              <w:right w:val="single" w:sz="6" w:space="0" w:color="333333"/>
            </w:tcBorders>
            <w:shd w:val="clear" w:color="auto" w:fill="C5D9F0"/>
          </w:tcPr>
          <w:p w14:paraId="4D3383FD" w14:textId="77777777" w:rsidR="00C57712" w:rsidRPr="005E6DA4" w:rsidRDefault="00C57712" w:rsidP="00C57712">
            <w:pPr>
              <w:pStyle w:val="TableParagraph"/>
              <w:spacing w:before="112"/>
              <w:ind w:left="107"/>
              <w:rPr>
                <w:rFonts w:asciiTheme="minorHAnsi" w:hAnsiTheme="minorHAnsi" w:cstheme="majorHAnsi"/>
                <w:b/>
                <w:sz w:val="24"/>
              </w:rPr>
            </w:pPr>
            <w:r w:rsidRPr="005E6DA4">
              <w:rPr>
                <w:rFonts w:asciiTheme="minorHAnsi" w:hAnsiTheme="minorHAnsi" w:cstheme="majorHAnsi"/>
                <w:b/>
                <w:sz w:val="24"/>
              </w:rPr>
              <w:t>Author and Role</w:t>
            </w:r>
          </w:p>
        </w:tc>
        <w:tc>
          <w:tcPr>
            <w:tcW w:w="5386" w:type="dxa"/>
            <w:tcBorders>
              <w:top w:val="single" w:sz="6" w:space="0" w:color="333333"/>
              <w:left w:val="single" w:sz="6" w:space="0" w:color="333333"/>
              <w:bottom w:val="single" w:sz="6" w:space="0" w:color="333333"/>
            </w:tcBorders>
          </w:tcPr>
          <w:p w14:paraId="4C5B6803" w14:textId="3912B174" w:rsidR="00C57712" w:rsidRPr="005E6DA4" w:rsidRDefault="00C57712" w:rsidP="00C57712">
            <w:pPr>
              <w:pStyle w:val="TableParagraph"/>
              <w:spacing w:before="112"/>
              <w:ind w:left="114"/>
              <w:rPr>
                <w:rFonts w:asciiTheme="minorHAnsi" w:hAnsiTheme="minorHAnsi" w:cstheme="majorHAnsi"/>
                <w:bCs/>
                <w:sz w:val="24"/>
              </w:rPr>
            </w:pPr>
            <w:r w:rsidRPr="005E6DA4">
              <w:rPr>
                <w:rFonts w:asciiTheme="minorHAnsi" w:hAnsiTheme="minorHAnsi" w:cstheme="majorHAnsi"/>
                <w:bCs/>
                <w:sz w:val="24"/>
              </w:rPr>
              <w:t>Business Manager</w:t>
            </w:r>
          </w:p>
        </w:tc>
      </w:tr>
      <w:tr w:rsidR="00C57712" w:rsidRPr="005E6DA4" w14:paraId="05A18DD7" w14:textId="77777777" w:rsidTr="00CD2387">
        <w:trPr>
          <w:trHeight w:val="483"/>
        </w:trPr>
        <w:tc>
          <w:tcPr>
            <w:tcW w:w="3686" w:type="dxa"/>
            <w:tcBorders>
              <w:top w:val="single" w:sz="6" w:space="0" w:color="333333"/>
              <w:bottom w:val="single" w:sz="6" w:space="0" w:color="333333"/>
              <w:right w:val="single" w:sz="6" w:space="0" w:color="333333"/>
            </w:tcBorders>
            <w:shd w:val="clear" w:color="auto" w:fill="C5D9F0"/>
          </w:tcPr>
          <w:p w14:paraId="6F7DC445" w14:textId="77777777" w:rsidR="00C57712" w:rsidRPr="005E6DA4" w:rsidRDefault="00C57712" w:rsidP="00C57712">
            <w:pPr>
              <w:pStyle w:val="TableParagraph"/>
              <w:spacing w:before="114"/>
              <w:ind w:left="107"/>
              <w:rPr>
                <w:rFonts w:asciiTheme="minorHAnsi" w:hAnsiTheme="minorHAnsi" w:cstheme="majorHAnsi"/>
                <w:b/>
                <w:sz w:val="24"/>
              </w:rPr>
            </w:pPr>
            <w:r w:rsidRPr="005E6DA4">
              <w:rPr>
                <w:rFonts w:asciiTheme="minorHAnsi" w:hAnsiTheme="minorHAnsi" w:cstheme="majorHAnsi"/>
                <w:b/>
                <w:sz w:val="24"/>
              </w:rPr>
              <w:t>Organization</w:t>
            </w:r>
          </w:p>
        </w:tc>
        <w:tc>
          <w:tcPr>
            <w:tcW w:w="5386" w:type="dxa"/>
            <w:tcBorders>
              <w:top w:val="single" w:sz="6" w:space="0" w:color="333333"/>
              <w:left w:val="single" w:sz="6" w:space="0" w:color="333333"/>
              <w:bottom w:val="single" w:sz="6" w:space="0" w:color="333333"/>
            </w:tcBorders>
            <w:vAlign w:val="center"/>
          </w:tcPr>
          <w:p w14:paraId="46DF753D" w14:textId="77777777" w:rsidR="00C57712" w:rsidRPr="005E6DA4" w:rsidRDefault="00C57712" w:rsidP="00C57712">
            <w:pPr>
              <w:pStyle w:val="TableParagraph"/>
              <w:ind w:left="114"/>
              <w:rPr>
                <w:rFonts w:asciiTheme="minorHAnsi" w:hAnsiTheme="minorHAnsi" w:cstheme="majorHAnsi"/>
                <w:b/>
                <w:sz w:val="24"/>
              </w:rPr>
            </w:pPr>
            <w:r w:rsidRPr="005E6DA4">
              <w:rPr>
                <w:rFonts w:asciiTheme="minorHAnsi" w:hAnsiTheme="minorHAnsi" w:cstheme="majorHAnsi"/>
                <w:b/>
                <w:bCs/>
              </w:rPr>
              <w:t>&lt;&lt; PRACTICE NAME &gt;&gt;</w:t>
            </w:r>
          </w:p>
        </w:tc>
      </w:tr>
      <w:tr w:rsidR="00C57712" w:rsidRPr="005E6DA4" w14:paraId="5792BEBF" w14:textId="77777777" w:rsidTr="00CD2387">
        <w:trPr>
          <w:trHeight w:val="520"/>
        </w:trPr>
        <w:tc>
          <w:tcPr>
            <w:tcW w:w="3686" w:type="dxa"/>
            <w:tcBorders>
              <w:top w:val="single" w:sz="6" w:space="0" w:color="333333"/>
              <w:bottom w:val="single" w:sz="6" w:space="0" w:color="333333"/>
              <w:right w:val="single" w:sz="6" w:space="0" w:color="333333"/>
            </w:tcBorders>
            <w:shd w:val="clear" w:color="auto" w:fill="C5D9F0"/>
          </w:tcPr>
          <w:p w14:paraId="21CB1B11" w14:textId="77777777" w:rsidR="00C57712" w:rsidRPr="005E6DA4" w:rsidRDefault="00C57712" w:rsidP="00C57712">
            <w:pPr>
              <w:pStyle w:val="TableParagraph"/>
              <w:spacing w:before="114"/>
              <w:ind w:left="107"/>
              <w:rPr>
                <w:rFonts w:asciiTheme="minorHAnsi" w:hAnsiTheme="minorHAnsi" w:cstheme="majorHAnsi"/>
                <w:b/>
                <w:sz w:val="24"/>
              </w:rPr>
            </w:pPr>
            <w:r w:rsidRPr="005E6DA4">
              <w:rPr>
                <w:rFonts w:asciiTheme="minorHAnsi" w:hAnsiTheme="minorHAnsi" w:cstheme="majorHAnsi"/>
                <w:b/>
                <w:sz w:val="24"/>
              </w:rPr>
              <w:t>Document Number</w:t>
            </w:r>
          </w:p>
        </w:tc>
        <w:tc>
          <w:tcPr>
            <w:tcW w:w="5386" w:type="dxa"/>
            <w:tcBorders>
              <w:top w:val="single" w:sz="6" w:space="0" w:color="333333"/>
              <w:left w:val="single" w:sz="6" w:space="0" w:color="333333"/>
              <w:bottom w:val="single" w:sz="6" w:space="0" w:color="333333"/>
            </w:tcBorders>
          </w:tcPr>
          <w:p w14:paraId="07DA2A3B" w14:textId="41F15F03" w:rsidR="00C57712" w:rsidRPr="005E6DA4" w:rsidRDefault="00C57712" w:rsidP="00C57712">
            <w:pPr>
              <w:pStyle w:val="TableParagraph"/>
              <w:spacing w:before="114"/>
              <w:ind w:left="114"/>
              <w:rPr>
                <w:rFonts w:asciiTheme="minorHAnsi" w:hAnsiTheme="minorHAnsi" w:cstheme="majorHAnsi"/>
                <w:sz w:val="24"/>
              </w:rPr>
            </w:pPr>
            <w:r>
              <w:rPr>
                <w:rFonts w:asciiTheme="minorHAnsi" w:hAnsiTheme="minorHAnsi" w:cstheme="majorHAnsi"/>
                <w:sz w:val="24"/>
              </w:rPr>
              <w:t>RA23</w:t>
            </w:r>
          </w:p>
        </w:tc>
      </w:tr>
      <w:tr w:rsidR="00C57712" w:rsidRPr="005E6DA4" w14:paraId="1CD50DD5" w14:textId="77777777" w:rsidTr="00CD2387">
        <w:trPr>
          <w:trHeight w:val="517"/>
        </w:trPr>
        <w:tc>
          <w:tcPr>
            <w:tcW w:w="3686" w:type="dxa"/>
            <w:tcBorders>
              <w:top w:val="single" w:sz="6" w:space="0" w:color="333333"/>
              <w:bottom w:val="single" w:sz="6" w:space="0" w:color="333333"/>
              <w:right w:val="single" w:sz="6" w:space="0" w:color="333333"/>
            </w:tcBorders>
            <w:shd w:val="clear" w:color="auto" w:fill="C5D9F0"/>
          </w:tcPr>
          <w:p w14:paraId="33AC90C3" w14:textId="77777777" w:rsidR="00C57712" w:rsidRPr="005E6DA4" w:rsidRDefault="00C57712" w:rsidP="00C57712">
            <w:pPr>
              <w:pStyle w:val="TableParagraph"/>
              <w:spacing w:before="112"/>
              <w:ind w:left="107"/>
              <w:rPr>
                <w:rFonts w:asciiTheme="minorHAnsi" w:hAnsiTheme="minorHAnsi" w:cstheme="majorHAnsi"/>
                <w:b/>
                <w:sz w:val="24"/>
              </w:rPr>
            </w:pPr>
            <w:r w:rsidRPr="005E6DA4">
              <w:rPr>
                <w:rFonts w:asciiTheme="minorHAnsi" w:hAnsiTheme="minorHAnsi" w:cstheme="majorHAnsi"/>
                <w:b/>
                <w:sz w:val="24"/>
              </w:rPr>
              <w:t>Current Version Number</w:t>
            </w:r>
          </w:p>
        </w:tc>
        <w:tc>
          <w:tcPr>
            <w:tcW w:w="5386" w:type="dxa"/>
            <w:tcBorders>
              <w:top w:val="single" w:sz="6" w:space="0" w:color="333333"/>
              <w:left w:val="single" w:sz="6" w:space="0" w:color="333333"/>
              <w:bottom w:val="single" w:sz="6" w:space="0" w:color="333333"/>
            </w:tcBorders>
          </w:tcPr>
          <w:p w14:paraId="7E3A477A" w14:textId="77777777" w:rsidR="00C57712" w:rsidRPr="005E6DA4" w:rsidRDefault="00C57712" w:rsidP="00C57712">
            <w:pPr>
              <w:pStyle w:val="TableParagraph"/>
              <w:spacing w:before="112"/>
              <w:ind w:left="114"/>
              <w:rPr>
                <w:rFonts w:asciiTheme="minorHAnsi" w:hAnsiTheme="minorHAnsi" w:cstheme="majorHAnsi"/>
                <w:sz w:val="24"/>
              </w:rPr>
            </w:pPr>
            <w:r w:rsidRPr="005E6DA4">
              <w:rPr>
                <w:rFonts w:asciiTheme="minorHAnsi" w:hAnsiTheme="minorHAnsi" w:cstheme="majorHAnsi"/>
                <w:sz w:val="24"/>
              </w:rPr>
              <w:t>1</w:t>
            </w:r>
            <w:r>
              <w:rPr>
                <w:rFonts w:asciiTheme="minorHAnsi" w:hAnsiTheme="minorHAnsi" w:cstheme="majorHAnsi"/>
                <w:sz w:val="24"/>
              </w:rPr>
              <w:t>.0</w:t>
            </w:r>
          </w:p>
        </w:tc>
      </w:tr>
      <w:tr w:rsidR="00C57712" w:rsidRPr="005E6DA4" w14:paraId="30A7E7B3" w14:textId="77777777" w:rsidTr="00CD2387">
        <w:trPr>
          <w:trHeight w:val="520"/>
        </w:trPr>
        <w:tc>
          <w:tcPr>
            <w:tcW w:w="3686" w:type="dxa"/>
            <w:tcBorders>
              <w:top w:val="single" w:sz="6" w:space="0" w:color="333333"/>
              <w:bottom w:val="single" w:sz="6" w:space="0" w:color="333333"/>
              <w:right w:val="single" w:sz="6" w:space="0" w:color="333333"/>
            </w:tcBorders>
            <w:shd w:val="clear" w:color="auto" w:fill="C5D9F0"/>
          </w:tcPr>
          <w:p w14:paraId="34805742" w14:textId="77777777" w:rsidR="00C57712" w:rsidRPr="005E6DA4" w:rsidRDefault="00C57712" w:rsidP="00C57712">
            <w:pPr>
              <w:pStyle w:val="TableParagraph"/>
              <w:spacing w:before="114"/>
              <w:ind w:left="107"/>
              <w:rPr>
                <w:rFonts w:asciiTheme="minorHAnsi" w:hAnsiTheme="minorHAnsi" w:cstheme="majorHAnsi"/>
                <w:b/>
                <w:sz w:val="24"/>
              </w:rPr>
            </w:pPr>
            <w:r w:rsidRPr="005E6DA4">
              <w:rPr>
                <w:rFonts w:asciiTheme="minorHAnsi" w:hAnsiTheme="minorHAnsi" w:cstheme="majorHAnsi"/>
                <w:b/>
                <w:sz w:val="24"/>
              </w:rPr>
              <w:t>Date last reviewed</w:t>
            </w:r>
          </w:p>
        </w:tc>
        <w:tc>
          <w:tcPr>
            <w:tcW w:w="5386" w:type="dxa"/>
            <w:tcBorders>
              <w:top w:val="single" w:sz="6" w:space="0" w:color="333333"/>
              <w:left w:val="single" w:sz="6" w:space="0" w:color="333333"/>
              <w:bottom w:val="single" w:sz="6" w:space="0" w:color="333333"/>
            </w:tcBorders>
          </w:tcPr>
          <w:p w14:paraId="3AA03F44" w14:textId="77777777" w:rsidR="00C57712" w:rsidRPr="005E6DA4" w:rsidRDefault="00C57712" w:rsidP="00C57712">
            <w:pPr>
              <w:pStyle w:val="TableParagraph"/>
              <w:tabs>
                <w:tab w:val="left" w:pos="3566"/>
              </w:tabs>
              <w:spacing w:before="114"/>
              <w:ind w:left="114"/>
              <w:rPr>
                <w:rFonts w:asciiTheme="minorHAnsi" w:hAnsiTheme="minorHAnsi" w:cstheme="majorHAnsi"/>
                <w:sz w:val="24"/>
              </w:rPr>
            </w:pPr>
            <w:r>
              <w:rPr>
                <w:rFonts w:asciiTheme="minorHAnsi" w:hAnsiTheme="minorHAnsi" w:cstheme="majorHAnsi"/>
                <w:sz w:val="24"/>
              </w:rPr>
              <w:t>06/01/2026</w:t>
            </w:r>
            <w:r>
              <w:rPr>
                <w:rFonts w:asciiTheme="minorHAnsi" w:hAnsiTheme="minorHAnsi" w:cstheme="majorHAnsi"/>
                <w:sz w:val="24"/>
              </w:rPr>
              <w:tab/>
            </w:r>
          </w:p>
        </w:tc>
      </w:tr>
      <w:tr w:rsidR="00C57712" w:rsidRPr="005E6DA4" w14:paraId="475A0780" w14:textId="77777777" w:rsidTr="00CD2387">
        <w:trPr>
          <w:trHeight w:val="517"/>
        </w:trPr>
        <w:tc>
          <w:tcPr>
            <w:tcW w:w="3686" w:type="dxa"/>
            <w:tcBorders>
              <w:top w:val="single" w:sz="6" w:space="0" w:color="333333"/>
              <w:bottom w:val="single" w:sz="6" w:space="0" w:color="333333"/>
              <w:right w:val="single" w:sz="6" w:space="0" w:color="333333"/>
            </w:tcBorders>
            <w:shd w:val="clear" w:color="auto" w:fill="C5D9F0"/>
          </w:tcPr>
          <w:p w14:paraId="34708942" w14:textId="77777777" w:rsidR="00C57712" w:rsidRPr="005E6DA4" w:rsidRDefault="00C57712" w:rsidP="00C57712">
            <w:pPr>
              <w:pStyle w:val="TableParagraph"/>
              <w:spacing w:before="112"/>
              <w:ind w:left="107"/>
              <w:rPr>
                <w:rFonts w:asciiTheme="minorHAnsi" w:hAnsiTheme="minorHAnsi" w:cstheme="majorHAnsi"/>
                <w:b/>
                <w:sz w:val="24"/>
              </w:rPr>
            </w:pPr>
            <w:r w:rsidRPr="005E6DA4">
              <w:rPr>
                <w:rFonts w:asciiTheme="minorHAnsi" w:hAnsiTheme="minorHAnsi" w:cstheme="majorHAnsi"/>
                <w:b/>
                <w:sz w:val="24"/>
              </w:rPr>
              <w:t>Authorised by</w:t>
            </w:r>
          </w:p>
        </w:tc>
        <w:tc>
          <w:tcPr>
            <w:tcW w:w="5386" w:type="dxa"/>
            <w:tcBorders>
              <w:top w:val="single" w:sz="6" w:space="0" w:color="333333"/>
              <w:left w:val="single" w:sz="6" w:space="0" w:color="333333"/>
              <w:bottom w:val="single" w:sz="6" w:space="0" w:color="333333"/>
            </w:tcBorders>
          </w:tcPr>
          <w:p w14:paraId="5C4E6A8A" w14:textId="38D06B4A" w:rsidR="00C57712" w:rsidRPr="005E6DA4" w:rsidRDefault="00C57712" w:rsidP="00C57712">
            <w:pPr>
              <w:pStyle w:val="TableParagraph"/>
              <w:spacing w:before="112"/>
              <w:ind w:left="114"/>
              <w:rPr>
                <w:rFonts w:asciiTheme="minorHAnsi" w:hAnsiTheme="minorHAnsi" w:cstheme="majorHAnsi"/>
                <w:sz w:val="24"/>
              </w:rPr>
            </w:pPr>
            <w:r w:rsidRPr="005E6DA4">
              <w:rPr>
                <w:rFonts w:asciiTheme="minorHAnsi" w:hAnsiTheme="minorHAnsi" w:cstheme="majorHAnsi"/>
                <w:bCs/>
                <w:sz w:val="24"/>
              </w:rPr>
              <w:t>Business Manager</w:t>
            </w:r>
          </w:p>
        </w:tc>
      </w:tr>
      <w:tr w:rsidR="00C57712" w:rsidRPr="005E6DA4" w14:paraId="0A1E9EC7" w14:textId="77777777" w:rsidTr="00CD2387">
        <w:trPr>
          <w:trHeight w:val="520"/>
        </w:trPr>
        <w:tc>
          <w:tcPr>
            <w:tcW w:w="3686" w:type="dxa"/>
            <w:tcBorders>
              <w:top w:val="single" w:sz="6" w:space="0" w:color="333333"/>
              <w:bottom w:val="single" w:sz="6" w:space="0" w:color="333333"/>
              <w:right w:val="single" w:sz="6" w:space="0" w:color="333333"/>
            </w:tcBorders>
            <w:shd w:val="clear" w:color="auto" w:fill="C5D9F0"/>
          </w:tcPr>
          <w:p w14:paraId="63DE8B65" w14:textId="77777777" w:rsidR="00C57712" w:rsidRPr="005E6DA4" w:rsidRDefault="00C57712" w:rsidP="00C57712">
            <w:pPr>
              <w:pStyle w:val="TableParagraph"/>
              <w:spacing w:before="114"/>
              <w:ind w:left="107"/>
              <w:rPr>
                <w:rFonts w:asciiTheme="minorHAnsi" w:hAnsiTheme="minorHAnsi" w:cstheme="majorHAnsi"/>
                <w:b/>
                <w:sz w:val="24"/>
              </w:rPr>
            </w:pPr>
            <w:r w:rsidRPr="005E6DA4">
              <w:rPr>
                <w:rFonts w:asciiTheme="minorHAnsi" w:hAnsiTheme="minorHAnsi" w:cstheme="majorHAnsi"/>
                <w:b/>
                <w:sz w:val="24"/>
              </w:rPr>
              <w:t>Date of next review</w:t>
            </w:r>
          </w:p>
        </w:tc>
        <w:tc>
          <w:tcPr>
            <w:tcW w:w="5386" w:type="dxa"/>
            <w:tcBorders>
              <w:top w:val="single" w:sz="6" w:space="0" w:color="333333"/>
              <w:left w:val="single" w:sz="6" w:space="0" w:color="333333"/>
              <w:bottom w:val="single" w:sz="6" w:space="0" w:color="333333"/>
            </w:tcBorders>
          </w:tcPr>
          <w:p w14:paraId="6B968FFC" w14:textId="2DEFD443" w:rsidR="00C57712" w:rsidRPr="005E6DA4" w:rsidRDefault="00C57712" w:rsidP="00C57712">
            <w:pPr>
              <w:pStyle w:val="TableParagraph"/>
              <w:spacing w:before="114"/>
              <w:ind w:left="114"/>
              <w:rPr>
                <w:rFonts w:asciiTheme="minorHAnsi" w:hAnsiTheme="minorHAnsi" w:cstheme="majorHAnsi"/>
                <w:sz w:val="24"/>
              </w:rPr>
            </w:pPr>
            <w:r>
              <w:rPr>
                <w:rFonts w:asciiTheme="minorHAnsi" w:hAnsiTheme="minorHAnsi" w:cstheme="majorHAnsi"/>
                <w:sz w:val="24"/>
              </w:rPr>
              <w:t>06/01/2029</w:t>
            </w:r>
          </w:p>
        </w:tc>
      </w:tr>
      <w:tr w:rsidR="00C57712" w:rsidRPr="005E6DA4" w14:paraId="76AEF65A" w14:textId="77777777" w:rsidTr="00CD2387">
        <w:trPr>
          <w:trHeight w:val="520"/>
        </w:trPr>
        <w:tc>
          <w:tcPr>
            <w:tcW w:w="3686" w:type="dxa"/>
            <w:tcBorders>
              <w:top w:val="single" w:sz="6" w:space="0" w:color="333333"/>
              <w:right w:val="single" w:sz="6" w:space="0" w:color="333333"/>
            </w:tcBorders>
            <w:shd w:val="clear" w:color="auto" w:fill="C5D9F0"/>
          </w:tcPr>
          <w:p w14:paraId="53BDDEE1" w14:textId="77777777" w:rsidR="00C57712" w:rsidRPr="005E6DA4" w:rsidRDefault="00C57712" w:rsidP="00C57712">
            <w:pPr>
              <w:pStyle w:val="TableParagraph"/>
              <w:spacing w:before="112"/>
              <w:ind w:left="107"/>
              <w:rPr>
                <w:rFonts w:asciiTheme="minorHAnsi" w:hAnsiTheme="minorHAnsi" w:cstheme="majorHAnsi"/>
                <w:b/>
                <w:sz w:val="24"/>
              </w:rPr>
            </w:pPr>
            <w:r w:rsidRPr="005E6DA4">
              <w:rPr>
                <w:rFonts w:asciiTheme="minorHAnsi" w:hAnsiTheme="minorHAnsi" w:cstheme="majorHAnsi"/>
                <w:b/>
                <w:sz w:val="24"/>
              </w:rPr>
              <w:t>Document available on Practice Intranet</w:t>
            </w:r>
          </w:p>
        </w:tc>
        <w:tc>
          <w:tcPr>
            <w:tcW w:w="5386" w:type="dxa"/>
            <w:tcBorders>
              <w:top w:val="single" w:sz="6" w:space="0" w:color="333333"/>
              <w:left w:val="single" w:sz="6" w:space="0" w:color="333333"/>
            </w:tcBorders>
          </w:tcPr>
          <w:p w14:paraId="361C4C7C" w14:textId="70BB6EDC" w:rsidR="00C57712" w:rsidRPr="005E6DA4" w:rsidRDefault="00C57712" w:rsidP="00C57712">
            <w:pPr>
              <w:pStyle w:val="TableParagraph"/>
              <w:spacing w:before="112"/>
              <w:ind w:left="114"/>
              <w:rPr>
                <w:rFonts w:asciiTheme="minorHAnsi" w:hAnsiTheme="minorHAnsi" w:cstheme="majorHAnsi"/>
                <w:sz w:val="24"/>
              </w:rPr>
            </w:pPr>
            <w:r w:rsidRPr="005E6DA4">
              <w:rPr>
                <w:rFonts w:asciiTheme="minorHAnsi" w:hAnsiTheme="minorHAnsi" w:cstheme="majorHAnsi"/>
                <w:sz w:val="24"/>
              </w:rPr>
              <w:t xml:space="preserve">Teams / </w:t>
            </w:r>
            <w:proofErr w:type="spellStart"/>
            <w:r>
              <w:rPr>
                <w:rFonts w:asciiTheme="minorHAnsi" w:hAnsiTheme="minorHAnsi" w:cstheme="majorHAnsi"/>
                <w:sz w:val="24"/>
              </w:rPr>
              <w:t>PracticeConnect</w:t>
            </w:r>
            <w:proofErr w:type="spellEnd"/>
          </w:p>
        </w:tc>
      </w:tr>
    </w:tbl>
    <w:p w14:paraId="6A6B5E94" w14:textId="77777777" w:rsidR="00A8143D" w:rsidRDefault="00A8143D" w:rsidP="00A8143D">
      <w:pPr>
        <w:pStyle w:val="Heading1"/>
      </w:pPr>
      <w:r>
        <w:lastRenderedPageBreak/>
        <w:t>Introduction</w:t>
      </w:r>
    </w:p>
    <w:p w14:paraId="1947AF80" w14:textId="77777777" w:rsidR="009805DC" w:rsidRDefault="009805DC" w:rsidP="009805DC">
      <w:r>
        <w:t>This risk assessment has been developed for The Practice to identify and manage the risk of occupational exposure to blood or body fluids for non-clinical staff members where routine Hepatitis B vaccination is not ordinarily required. Its purpose is to ensure that any decision not to vaccinate is supported by a clear, role-based assessment of exposure risk and by appropriate infection prevention and control measures.</w:t>
      </w:r>
    </w:p>
    <w:p w14:paraId="6E248F0C" w14:textId="77777777" w:rsidR="009805DC" w:rsidRDefault="009805DC" w:rsidP="009805DC">
      <w:r>
        <w:t>This document applies to non-clinical staff working in a general practice setting, including administrative, reception, clerical, secretarial and other support roles, and should be used where there may be occasional contact with specimens, spillages, contaminated waste, drips, splashes or aggressive incidents such as bites.</w:t>
      </w:r>
    </w:p>
    <w:p w14:paraId="7027FB45" w14:textId="77777777" w:rsidR="001D64B4" w:rsidRDefault="001D64B4" w:rsidP="001D64B4">
      <w:r>
        <w:rPr>
          <w:b/>
        </w:rPr>
        <w:t>Scope of Assessment</w:t>
      </w:r>
    </w:p>
    <w:p w14:paraId="48DF6EBE" w14:textId="77777777" w:rsidR="001D64B4" w:rsidRDefault="001D64B4" w:rsidP="001D64B4">
      <w:r>
        <w:t>Most non-clinical staff in general practice do not routinely require Hepatitis B vaccination. However, vaccination may need to be considered where duties place the member of staff at foreseeable risk of exposure to blood, blood-stained body fluids or contaminated items.</w:t>
      </w:r>
    </w:p>
    <w:p w14:paraId="3EA83F6C" w14:textId="77777777" w:rsidR="001D64B4" w:rsidRDefault="001D64B4" w:rsidP="001D64B4">
      <w:r>
        <w:t>Examples of potential exposure include:</w:t>
      </w:r>
    </w:p>
    <w:p w14:paraId="5795E840" w14:textId="77777777" w:rsidR="001D64B4" w:rsidRDefault="001D64B4" w:rsidP="00D45C0A">
      <w:pPr>
        <w:pStyle w:val="ListParagraph"/>
        <w:numPr>
          <w:ilvl w:val="0"/>
          <w:numId w:val="41"/>
        </w:numPr>
      </w:pPr>
      <w:r>
        <w:t>handling labelled patient specimens</w:t>
      </w:r>
    </w:p>
    <w:p w14:paraId="2CFBCD2C" w14:textId="77777777" w:rsidR="001D64B4" w:rsidRDefault="001D64B4" w:rsidP="00D45C0A">
      <w:pPr>
        <w:pStyle w:val="ListParagraph"/>
        <w:numPr>
          <w:ilvl w:val="0"/>
          <w:numId w:val="41"/>
        </w:numPr>
      </w:pPr>
      <w:r>
        <w:t>handling clinical waste bags or containers</w:t>
      </w:r>
    </w:p>
    <w:p w14:paraId="52FAD65E" w14:textId="77777777" w:rsidR="001D64B4" w:rsidRDefault="001D64B4" w:rsidP="00D45C0A">
      <w:pPr>
        <w:pStyle w:val="ListParagraph"/>
        <w:numPr>
          <w:ilvl w:val="0"/>
          <w:numId w:val="41"/>
        </w:numPr>
      </w:pPr>
      <w:r>
        <w:t>cleaning or managing spillages involving blood or body fluids</w:t>
      </w:r>
    </w:p>
    <w:p w14:paraId="7BFEB5A0" w14:textId="77777777" w:rsidR="001D64B4" w:rsidRDefault="001D64B4" w:rsidP="00D45C0A">
      <w:pPr>
        <w:pStyle w:val="ListParagraph"/>
        <w:numPr>
          <w:ilvl w:val="0"/>
          <w:numId w:val="41"/>
        </w:numPr>
      </w:pPr>
      <w:r>
        <w:t>contact with drips or splashes to broken skin, eyes, nose or mouth</w:t>
      </w:r>
    </w:p>
    <w:p w14:paraId="758AC763" w14:textId="77777777" w:rsidR="001D64B4" w:rsidRDefault="001D64B4" w:rsidP="00D45C0A">
      <w:pPr>
        <w:pStyle w:val="ListParagraph"/>
        <w:numPr>
          <w:ilvl w:val="0"/>
          <w:numId w:val="41"/>
        </w:numPr>
      </w:pPr>
      <w:r>
        <w:t>risk of bites or deliberate injury from patients</w:t>
      </w:r>
    </w:p>
    <w:p w14:paraId="6810225D" w14:textId="369667BF" w:rsidR="001D64B4" w:rsidRDefault="001D64B4" w:rsidP="00D45C0A">
      <w:pPr>
        <w:pStyle w:val="ListParagraph"/>
        <w:numPr>
          <w:ilvl w:val="0"/>
          <w:numId w:val="41"/>
        </w:numPr>
      </w:pPr>
      <w:r>
        <w:t>accidental proximity to blood-contaminated sharps or unsafe disposal</w:t>
      </w:r>
      <w:r w:rsidR="00D45C0A">
        <w:br/>
      </w:r>
    </w:p>
    <w:p w14:paraId="53269CE3" w14:textId="77777777" w:rsidR="004A70C3" w:rsidRPr="004A70C3" w:rsidRDefault="004A70C3" w:rsidP="004A70C3">
      <w:pPr>
        <w:rPr>
          <w:b/>
          <w:bCs/>
        </w:rPr>
      </w:pPr>
      <w:r w:rsidRPr="004A70C3">
        <w:rPr>
          <w:b/>
          <w:bCs/>
        </w:rPr>
        <w:t>Legal and regulatory framework</w:t>
      </w:r>
    </w:p>
    <w:p w14:paraId="6B497226" w14:textId="77777777" w:rsidR="00516E7C" w:rsidRDefault="00516E7C" w:rsidP="00516E7C">
      <w:pPr>
        <w:pStyle w:val="ListParagraph"/>
        <w:numPr>
          <w:ilvl w:val="0"/>
          <w:numId w:val="39"/>
        </w:numPr>
      </w:pPr>
      <w:r>
        <w:t>Health and Safety at Work etc. Act 1974</w:t>
      </w:r>
    </w:p>
    <w:p w14:paraId="7BAD16AF" w14:textId="77777777" w:rsidR="00516E7C" w:rsidRDefault="00516E7C" w:rsidP="00516E7C">
      <w:pPr>
        <w:pStyle w:val="ListParagraph"/>
        <w:numPr>
          <w:ilvl w:val="0"/>
          <w:numId w:val="39"/>
        </w:numPr>
      </w:pPr>
      <w:r>
        <w:t>Control of Substances Hazardous to Health Regulations 2002 (COSHH)</w:t>
      </w:r>
    </w:p>
    <w:p w14:paraId="3A4C3395" w14:textId="77777777" w:rsidR="00516E7C" w:rsidRDefault="00516E7C" w:rsidP="00516E7C">
      <w:pPr>
        <w:pStyle w:val="ListParagraph"/>
        <w:numPr>
          <w:ilvl w:val="0"/>
          <w:numId w:val="39"/>
        </w:numPr>
      </w:pPr>
      <w:r>
        <w:t>Health and Social Care Act 2008 (Regulated Activities) Regulations 2014</w:t>
      </w:r>
    </w:p>
    <w:p w14:paraId="1863A649" w14:textId="77777777" w:rsidR="00516E7C" w:rsidRDefault="00516E7C" w:rsidP="00516E7C">
      <w:pPr>
        <w:pStyle w:val="ListParagraph"/>
        <w:numPr>
          <w:ilvl w:val="0"/>
          <w:numId w:val="39"/>
        </w:numPr>
      </w:pPr>
      <w:r>
        <w:t>CQC Fundamental Standards – Safe, Effective, Well-led</w:t>
      </w:r>
    </w:p>
    <w:p w14:paraId="41EEF91D" w14:textId="77777777" w:rsidR="00516E7C" w:rsidRDefault="00516E7C" w:rsidP="00516E7C">
      <w:pPr>
        <w:pStyle w:val="ListParagraph"/>
        <w:numPr>
          <w:ilvl w:val="0"/>
          <w:numId w:val="39"/>
        </w:numPr>
      </w:pPr>
      <w:r>
        <w:t>Practice Infection Prevention and Control Policy</w:t>
      </w:r>
    </w:p>
    <w:p w14:paraId="07D7A907" w14:textId="77777777" w:rsidR="00516E7C" w:rsidRDefault="00516E7C" w:rsidP="00516E7C">
      <w:pPr>
        <w:pStyle w:val="ListParagraph"/>
        <w:numPr>
          <w:ilvl w:val="0"/>
          <w:numId w:val="39"/>
        </w:numPr>
      </w:pPr>
      <w:r>
        <w:t>Occupational Health and Immunisation Guidance</w:t>
      </w:r>
    </w:p>
    <w:p w14:paraId="64CD630C" w14:textId="77777777" w:rsidR="005177C7" w:rsidRDefault="005177C7" w:rsidP="005177C7">
      <w:r w:rsidRPr="005177C7">
        <w:rPr>
          <w:b/>
        </w:rPr>
        <w:t>Control Measures</w:t>
      </w:r>
    </w:p>
    <w:p w14:paraId="365DA571" w14:textId="77777777" w:rsidR="005177C7" w:rsidRDefault="005177C7" w:rsidP="005177C7">
      <w:r>
        <w:t>The following control measures must remain in place for all relevant non-clinical staff:</w:t>
      </w:r>
    </w:p>
    <w:p w14:paraId="41A0B0F9" w14:textId="77777777" w:rsidR="005177C7" w:rsidRDefault="005177C7" w:rsidP="00FA3F9B">
      <w:pPr>
        <w:pStyle w:val="ListParagraph"/>
        <w:numPr>
          <w:ilvl w:val="0"/>
          <w:numId w:val="40"/>
        </w:numPr>
      </w:pPr>
      <w:r>
        <w:t>gloves must be worn when handling specimens, clinical waste, spillages or any item contaminated or suspected to be contaminated with blood or body fluids</w:t>
      </w:r>
    </w:p>
    <w:p w14:paraId="4CB220E4" w14:textId="77777777" w:rsidR="005177C7" w:rsidRDefault="005177C7" w:rsidP="00FA3F9B">
      <w:pPr>
        <w:pStyle w:val="ListParagraph"/>
        <w:numPr>
          <w:ilvl w:val="0"/>
          <w:numId w:val="40"/>
        </w:numPr>
      </w:pPr>
      <w:r>
        <w:t>hand hygiene must be performed immediately after glove removal or contact with potentially contaminated items</w:t>
      </w:r>
    </w:p>
    <w:p w14:paraId="68A49BE6" w14:textId="77777777" w:rsidR="005177C7" w:rsidRDefault="005177C7" w:rsidP="00FA3F9B">
      <w:pPr>
        <w:pStyle w:val="ListParagraph"/>
        <w:numPr>
          <w:ilvl w:val="0"/>
          <w:numId w:val="40"/>
        </w:numPr>
      </w:pPr>
      <w:r>
        <w:t>staff must not handle sharps directly or place hands inside waste bags or sharps containers</w:t>
      </w:r>
    </w:p>
    <w:p w14:paraId="0DFDB4ED" w14:textId="77777777" w:rsidR="005177C7" w:rsidRDefault="005177C7" w:rsidP="00FA3F9B">
      <w:pPr>
        <w:pStyle w:val="ListParagraph"/>
        <w:numPr>
          <w:ilvl w:val="0"/>
          <w:numId w:val="40"/>
        </w:numPr>
      </w:pPr>
      <w:r>
        <w:t>leaking samples or damaged containers must be escalated immediately and managed in line with IPC procedures</w:t>
      </w:r>
    </w:p>
    <w:p w14:paraId="5912B0ED" w14:textId="77777777" w:rsidR="005177C7" w:rsidRDefault="005177C7" w:rsidP="00FA3F9B">
      <w:pPr>
        <w:pStyle w:val="ListParagraph"/>
        <w:numPr>
          <w:ilvl w:val="0"/>
          <w:numId w:val="40"/>
        </w:numPr>
      </w:pPr>
      <w:r>
        <w:t>aprons and other PPE must be available where splash or contamination risk exists</w:t>
      </w:r>
    </w:p>
    <w:p w14:paraId="3D1A6338" w14:textId="77777777" w:rsidR="005177C7" w:rsidRDefault="005177C7" w:rsidP="00FA3F9B">
      <w:pPr>
        <w:pStyle w:val="ListParagraph"/>
        <w:numPr>
          <w:ilvl w:val="0"/>
          <w:numId w:val="40"/>
        </w:numPr>
      </w:pPr>
      <w:r>
        <w:lastRenderedPageBreak/>
        <w:t>any bite, splash, drip, exposure to broken skin, or contamination of eyes, nose or mouth must be reported immediately and assessed without delay</w:t>
      </w:r>
    </w:p>
    <w:p w14:paraId="385D1D22" w14:textId="77777777" w:rsidR="005177C7" w:rsidRDefault="005177C7" w:rsidP="00FA3F9B">
      <w:pPr>
        <w:pStyle w:val="ListParagraph"/>
        <w:numPr>
          <w:ilvl w:val="0"/>
          <w:numId w:val="40"/>
        </w:numPr>
      </w:pPr>
      <w:r>
        <w:t>spill kits and local decontamination procedures must be available and understood by staff</w:t>
      </w:r>
    </w:p>
    <w:p w14:paraId="67336742" w14:textId="77777777" w:rsidR="005177C7" w:rsidRDefault="005177C7" w:rsidP="00FA3F9B">
      <w:pPr>
        <w:pStyle w:val="ListParagraph"/>
        <w:numPr>
          <w:ilvl w:val="0"/>
          <w:numId w:val="40"/>
        </w:numPr>
      </w:pPr>
      <w:r>
        <w:t>non-clinical staff must receive IPC training appropriate to their role</w:t>
      </w:r>
    </w:p>
    <w:p w14:paraId="3A0D3AE0" w14:textId="77777777" w:rsidR="005177C7" w:rsidRDefault="005177C7" w:rsidP="00FA3F9B">
      <w:pPr>
        <w:pStyle w:val="ListParagraph"/>
        <w:numPr>
          <w:ilvl w:val="0"/>
          <w:numId w:val="40"/>
        </w:numPr>
      </w:pPr>
      <w:r>
        <w:t>managers must review duties where repeated or foreseeable exposure risk is identified</w:t>
      </w:r>
    </w:p>
    <w:p w14:paraId="28986C6F" w14:textId="77777777" w:rsidR="005177C7" w:rsidRDefault="005177C7" w:rsidP="005177C7">
      <w:r w:rsidRPr="005177C7">
        <w:rPr>
          <w:b/>
        </w:rPr>
        <w:t>Risk Evaluation and Outcome</w:t>
      </w:r>
    </w:p>
    <w:p w14:paraId="7A84959E" w14:textId="77777777" w:rsidR="005177C7" w:rsidRDefault="005177C7" w:rsidP="005177C7">
      <w:r>
        <w:t>For most office-based non-clinical roles, the residual risk is low when appropriate IPC precautions are in place. In these circumstances, Hepatitis B vaccination is not routinely required.</w:t>
      </w:r>
    </w:p>
    <w:p w14:paraId="4B6CD08C" w14:textId="77777777" w:rsidR="005177C7" w:rsidRPr="00DB4E81" w:rsidRDefault="005177C7" w:rsidP="005177C7">
      <w:r>
        <w:t xml:space="preserve">Vaccination should be considered where the role includes regular specimen handling, clinical </w:t>
      </w:r>
      <w:r w:rsidRPr="00DB4E81">
        <w:t>waste handling, frequent work in clinical environments, recurrent splash risk, or foreseeable risk of bites or deliberate injury. Where the exposure risk is significant or recurrent, Occupational Health advice should be obtained.</w:t>
      </w:r>
    </w:p>
    <w:p w14:paraId="49983FD4" w14:textId="77777777" w:rsidR="00DB4E81" w:rsidRPr="00DB4E81" w:rsidRDefault="00DB4E81" w:rsidP="00DB4E81">
      <w:pPr>
        <w:pStyle w:val="SectionHeading"/>
        <w:rPr>
          <w:color w:val="auto"/>
        </w:rPr>
      </w:pPr>
      <w:r w:rsidRPr="00DB4E81">
        <w:rPr>
          <w:color w:val="auto"/>
        </w:rPr>
        <w:t>Conclusion</w:t>
      </w:r>
    </w:p>
    <w:p w14:paraId="70D57291" w14:textId="749A7EB4" w:rsidR="00DB4E81" w:rsidRDefault="00DB4E81" w:rsidP="00DB4E81">
      <w:r w:rsidRPr="00DB4E81">
        <w:t>Th</w:t>
      </w:r>
      <w:r>
        <w:t>e</w:t>
      </w:r>
      <w:r w:rsidRPr="00DB4E81">
        <w:t xml:space="preserve"> checklist supports a proportionate approach to Hepatitis B vaccination for non-clinical staff in general practice. Where exposure risk is low and suitable controls are in place, vaccination will not usually be required. Where duties create a realistic risk of exposure to blood or body fluids, including specimen handling, splashes, drips, contaminated waste, or bites, the practice should </w:t>
      </w:r>
      <w:r>
        <w:t>consider vaccination and seek Occupational Health advice where appropriate.</w:t>
      </w:r>
    </w:p>
    <w:p w14:paraId="00409B73" w14:textId="77777777" w:rsidR="00DB4E81" w:rsidRDefault="00DB4E81" w:rsidP="005177C7"/>
    <w:p w14:paraId="679725D5" w14:textId="77777777" w:rsidR="005177C7" w:rsidRDefault="005177C7" w:rsidP="005177C7"/>
    <w:p w14:paraId="6FAAAFF9" w14:textId="0AFF3D01" w:rsidR="00B01F1D" w:rsidRDefault="005177C7" w:rsidP="004A70C3">
      <w:pPr>
        <w:sectPr w:rsidR="00B01F1D" w:rsidSect="004A70C3">
          <w:pgSz w:w="11906" w:h="16838"/>
          <w:pgMar w:top="1440" w:right="1440" w:bottom="1440" w:left="1440" w:header="708" w:footer="708" w:gutter="0"/>
          <w:cols w:space="708"/>
          <w:docGrid w:linePitch="360"/>
        </w:sectPr>
      </w:pPr>
      <w:r>
        <w:br/>
      </w:r>
      <w:r>
        <w:br/>
      </w:r>
    </w:p>
    <w:tbl>
      <w:tblPr>
        <w:tblStyle w:val="GridTable4-Accent1"/>
        <w:tblW w:w="0" w:type="auto"/>
        <w:tblLook w:val="04A0" w:firstRow="1" w:lastRow="0" w:firstColumn="1" w:lastColumn="0" w:noHBand="0" w:noVBand="1"/>
      </w:tblPr>
      <w:tblGrid>
        <w:gridCol w:w="1543"/>
        <w:gridCol w:w="1541"/>
        <w:gridCol w:w="1604"/>
        <w:gridCol w:w="1551"/>
        <w:gridCol w:w="2403"/>
        <w:gridCol w:w="1701"/>
        <w:gridCol w:w="971"/>
        <w:gridCol w:w="1093"/>
        <w:gridCol w:w="1541"/>
      </w:tblGrid>
      <w:tr w:rsidR="00841629" w14:paraId="45DC426E" w14:textId="77777777" w:rsidTr="009F6B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3" w:type="dxa"/>
          </w:tcPr>
          <w:p w14:paraId="42D0034B" w14:textId="77777777" w:rsidR="00841629" w:rsidRDefault="00841629" w:rsidP="00485D9A">
            <w:r>
              <w:lastRenderedPageBreak/>
              <w:t>Hazard / risk area</w:t>
            </w:r>
          </w:p>
        </w:tc>
        <w:tc>
          <w:tcPr>
            <w:tcW w:w="1541" w:type="dxa"/>
          </w:tcPr>
          <w:p w14:paraId="411B362D" w14:textId="77777777" w:rsidR="00841629" w:rsidRDefault="00841629" w:rsidP="00485D9A">
            <w:pPr>
              <w:cnfStyle w:val="100000000000" w:firstRow="1" w:lastRow="0" w:firstColumn="0" w:lastColumn="0" w:oddVBand="0" w:evenVBand="0" w:oddHBand="0" w:evenHBand="0" w:firstRowFirstColumn="0" w:firstRowLastColumn="0" w:lastRowFirstColumn="0" w:lastRowLastColumn="0"/>
            </w:pPr>
            <w:r>
              <w:t>Who might be harmed</w:t>
            </w:r>
          </w:p>
        </w:tc>
        <w:tc>
          <w:tcPr>
            <w:tcW w:w="1604" w:type="dxa"/>
          </w:tcPr>
          <w:p w14:paraId="4BFA45B2" w14:textId="77777777" w:rsidR="00841629" w:rsidRDefault="00841629" w:rsidP="00485D9A">
            <w:pPr>
              <w:cnfStyle w:val="100000000000" w:firstRow="1" w:lastRow="0" w:firstColumn="0" w:lastColumn="0" w:oddVBand="0" w:evenVBand="0" w:oddHBand="0" w:evenHBand="0" w:firstRowFirstColumn="0" w:firstRowLastColumn="0" w:lastRowFirstColumn="0" w:lastRowLastColumn="0"/>
            </w:pPr>
            <w:r>
              <w:t>Risks</w:t>
            </w:r>
          </w:p>
        </w:tc>
        <w:tc>
          <w:tcPr>
            <w:tcW w:w="1551" w:type="dxa"/>
          </w:tcPr>
          <w:p w14:paraId="5B50A656" w14:textId="77777777" w:rsidR="00841629" w:rsidRDefault="00841629" w:rsidP="00485D9A">
            <w:pPr>
              <w:cnfStyle w:val="100000000000" w:firstRow="1" w:lastRow="0" w:firstColumn="0" w:lastColumn="0" w:oddVBand="0" w:evenVBand="0" w:oddHBand="0" w:evenHBand="0" w:firstRowFirstColumn="0" w:firstRowLastColumn="0" w:lastRowFirstColumn="0" w:lastRowLastColumn="0"/>
            </w:pPr>
            <w:r>
              <w:t>Existing controls</w:t>
            </w:r>
          </w:p>
        </w:tc>
        <w:tc>
          <w:tcPr>
            <w:tcW w:w="2403" w:type="dxa"/>
          </w:tcPr>
          <w:p w14:paraId="400A27EE" w14:textId="77777777" w:rsidR="00841629" w:rsidRDefault="00841629" w:rsidP="00485D9A">
            <w:pPr>
              <w:cnfStyle w:val="100000000000" w:firstRow="1" w:lastRow="0" w:firstColumn="0" w:lastColumn="0" w:oddVBand="0" w:evenVBand="0" w:oddHBand="0" w:evenHBand="0" w:firstRowFirstColumn="0" w:firstRowLastColumn="0" w:lastRowFirstColumn="0" w:lastRowLastColumn="0"/>
            </w:pPr>
            <w:r>
              <w:t>Further actions needed</w:t>
            </w:r>
          </w:p>
        </w:tc>
        <w:tc>
          <w:tcPr>
            <w:tcW w:w="1701" w:type="dxa"/>
          </w:tcPr>
          <w:p w14:paraId="60AAA482" w14:textId="77777777" w:rsidR="00841629" w:rsidRDefault="00841629" w:rsidP="00485D9A">
            <w:pPr>
              <w:cnfStyle w:val="100000000000" w:firstRow="1" w:lastRow="0" w:firstColumn="0" w:lastColumn="0" w:oddVBand="0" w:evenVBand="0" w:oddHBand="0" w:evenHBand="0" w:firstRowFirstColumn="0" w:firstRowLastColumn="0" w:lastRowFirstColumn="0" w:lastRowLastColumn="0"/>
            </w:pPr>
            <w:r>
              <w:t>Responsible person</w:t>
            </w:r>
          </w:p>
        </w:tc>
        <w:tc>
          <w:tcPr>
            <w:tcW w:w="971" w:type="dxa"/>
          </w:tcPr>
          <w:p w14:paraId="0D760145" w14:textId="77777777" w:rsidR="00841629" w:rsidRDefault="00841629" w:rsidP="00485D9A">
            <w:pPr>
              <w:cnfStyle w:val="100000000000" w:firstRow="1" w:lastRow="0" w:firstColumn="0" w:lastColumn="0" w:oddVBand="0" w:evenVBand="0" w:oddHBand="0" w:evenHBand="0" w:firstRowFirstColumn="0" w:firstRowLastColumn="0" w:lastRowFirstColumn="0" w:lastRowLastColumn="0"/>
            </w:pPr>
            <w:r>
              <w:t>Initial risk rating (H/M/L)</w:t>
            </w:r>
          </w:p>
        </w:tc>
        <w:tc>
          <w:tcPr>
            <w:tcW w:w="1093" w:type="dxa"/>
          </w:tcPr>
          <w:p w14:paraId="031B7914" w14:textId="77777777" w:rsidR="00841629" w:rsidRDefault="00841629" w:rsidP="00485D9A">
            <w:pPr>
              <w:cnfStyle w:val="100000000000" w:firstRow="1" w:lastRow="0" w:firstColumn="0" w:lastColumn="0" w:oddVBand="0" w:evenVBand="0" w:oddHBand="0" w:evenHBand="0" w:firstRowFirstColumn="0" w:firstRowLastColumn="0" w:lastRowFirstColumn="0" w:lastRowLastColumn="0"/>
            </w:pPr>
            <w:r>
              <w:t>Residual risk rating (H/M/L)</w:t>
            </w:r>
          </w:p>
        </w:tc>
        <w:tc>
          <w:tcPr>
            <w:tcW w:w="1541" w:type="dxa"/>
          </w:tcPr>
          <w:p w14:paraId="5000B2E8" w14:textId="77777777" w:rsidR="00841629" w:rsidRDefault="00841629" w:rsidP="00485D9A">
            <w:pPr>
              <w:cnfStyle w:val="100000000000" w:firstRow="1" w:lastRow="0" w:firstColumn="0" w:lastColumn="0" w:oddVBand="0" w:evenVBand="0" w:oddHBand="0" w:evenHBand="0" w:firstRowFirstColumn="0" w:firstRowLastColumn="0" w:lastRowFirstColumn="0" w:lastRowLastColumn="0"/>
            </w:pPr>
            <w:r>
              <w:t>Review frequency</w:t>
            </w:r>
          </w:p>
        </w:tc>
      </w:tr>
      <w:tr w:rsidR="00841629" w14:paraId="7E80FF1B" w14:textId="77777777" w:rsidTr="009F6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3" w:type="dxa"/>
          </w:tcPr>
          <w:p w14:paraId="2DED3FC4" w14:textId="77777777" w:rsidR="00841629" w:rsidRDefault="00841629" w:rsidP="00485D9A">
            <w:r>
              <w:rPr>
                <w:b w:val="0"/>
              </w:rPr>
              <w:t>Handling sealed patient specimens</w:t>
            </w:r>
          </w:p>
        </w:tc>
        <w:tc>
          <w:tcPr>
            <w:tcW w:w="1541" w:type="dxa"/>
          </w:tcPr>
          <w:p w14:paraId="01B418D3"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Non-clinical staff</w:t>
            </w:r>
          </w:p>
        </w:tc>
        <w:tc>
          <w:tcPr>
            <w:tcW w:w="1604" w:type="dxa"/>
          </w:tcPr>
          <w:p w14:paraId="7529093A"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Contact with leaking or damaged samples; contamination of skin or surfaces</w:t>
            </w:r>
          </w:p>
        </w:tc>
        <w:tc>
          <w:tcPr>
            <w:tcW w:w="1551" w:type="dxa"/>
          </w:tcPr>
          <w:p w14:paraId="4253E737"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Samples expected to be appropriately packaged; hand hygiene facilities available</w:t>
            </w:r>
          </w:p>
        </w:tc>
        <w:tc>
          <w:tcPr>
            <w:tcW w:w="2403" w:type="dxa"/>
          </w:tcPr>
          <w:p w14:paraId="27D9FE2D"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Ensure staff wear gloves when handling any specimen with possible leakage risk; train staff not to handle leaking samples without support; ensure specimen transport process is clear</w:t>
            </w:r>
          </w:p>
        </w:tc>
        <w:tc>
          <w:tcPr>
            <w:tcW w:w="1701" w:type="dxa"/>
          </w:tcPr>
          <w:p w14:paraId="70F8CBFA"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Practice Manager / IPC Lead</w:t>
            </w:r>
          </w:p>
        </w:tc>
        <w:tc>
          <w:tcPr>
            <w:tcW w:w="971" w:type="dxa"/>
          </w:tcPr>
          <w:p w14:paraId="13B6288A"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M</w:t>
            </w:r>
          </w:p>
        </w:tc>
        <w:tc>
          <w:tcPr>
            <w:tcW w:w="1093" w:type="dxa"/>
          </w:tcPr>
          <w:p w14:paraId="4E3DED34"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L</w:t>
            </w:r>
          </w:p>
        </w:tc>
        <w:tc>
          <w:tcPr>
            <w:tcW w:w="1541" w:type="dxa"/>
          </w:tcPr>
          <w:p w14:paraId="38C1D123"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Annually</w:t>
            </w:r>
          </w:p>
        </w:tc>
      </w:tr>
      <w:tr w:rsidR="00841629" w14:paraId="5AE4758D" w14:textId="77777777" w:rsidTr="009F6B03">
        <w:tc>
          <w:tcPr>
            <w:cnfStyle w:val="001000000000" w:firstRow="0" w:lastRow="0" w:firstColumn="1" w:lastColumn="0" w:oddVBand="0" w:evenVBand="0" w:oddHBand="0" w:evenHBand="0" w:firstRowFirstColumn="0" w:firstRowLastColumn="0" w:lastRowFirstColumn="0" w:lastRowLastColumn="0"/>
            <w:tcW w:w="1543" w:type="dxa"/>
          </w:tcPr>
          <w:p w14:paraId="35C7B561" w14:textId="77777777" w:rsidR="00841629" w:rsidRDefault="00841629" w:rsidP="00485D9A">
            <w:r>
              <w:rPr>
                <w:b w:val="0"/>
              </w:rPr>
              <w:t>Exposure to blood or body fluid drips, splashes or spillages</w:t>
            </w:r>
          </w:p>
        </w:tc>
        <w:tc>
          <w:tcPr>
            <w:tcW w:w="1541" w:type="dxa"/>
          </w:tcPr>
          <w:p w14:paraId="49862CC5"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Non-clinical staff</w:t>
            </w:r>
          </w:p>
        </w:tc>
        <w:tc>
          <w:tcPr>
            <w:tcW w:w="1604" w:type="dxa"/>
          </w:tcPr>
          <w:p w14:paraId="3B7055F0"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Splash to eyes, nose, mouth or broken skin; contamination of clothing or hands</w:t>
            </w:r>
          </w:p>
        </w:tc>
        <w:tc>
          <w:tcPr>
            <w:tcW w:w="1551" w:type="dxa"/>
          </w:tcPr>
          <w:p w14:paraId="5F9D9FE4"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Cleaning materials and handwashing facilities available; IPC policy in place</w:t>
            </w:r>
          </w:p>
        </w:tc>
        <w:tc>
          <w:tcPr>
            <w:tcW w:w="2403" w:type="dxa"/>
          </w:tcPr>
          <w:p w14:paraId="3D0BE783"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Ensure access to PPE including gloves and aprons; staff to report all splash incidents immediately; reinforce spill management procedures and escalation routes</w:t>
            </w:r>
          </w:p>
        </w:tc>
        <w:tc>
          <w:tcPr>
            <w:tcW w:w="1701" w:type="dxa"/>
          </w:tcPr>
          <w:p w14:paraId="0CBD65D5"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Practice Manager / IPC Lead</w:t>
            </w:r>
          </w:p>
        </w:tc>
        <w:tc>
          <w:tcPr>
            <w:tcW w:w="971" w:type="dxa"/>
          </w:tcPr>
          <w:p w14:paraId="58F85CAB"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M</w:t>
            </w:r>
          </w:p>
        </w:tc>
        <w:tc>
          <w:tcPr>
            <w:tcW w:w="1093" w:type="dxa"/>
          </w:tcPr>
          <w:p w14:paraId="4B07E01E"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L</w:t>
            </w:r>
          </w:p>
        </w:tc>
        <w:tc>
          <w:tcPr>
            <w:tcW w:w="1541" w:type="dxa"/>
          </w:tcPr>
          <w:p w14:paraId="082DAA21"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Annually and after incident</w:t>
            </w:r>
          </w:p>
        </w:tc>
      </w:tr>
      <w:tr w:rsidR="00841629" w14:paraId="4C730BD1" w14:textId="77777777" w:rsidTr="009F6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3" w:type="dxa"/>
          </w:tcPr>
          <w:p w14:paraId="097E7998" w14:textId="77777777" w:rsidR="00841629" w:rsidRDefault="00841629" w:rsidP="00485D9A">
            <w:r>
              <w:rPr>
                <w:b w:val="0"/>
              </w:rPr>
              <w:t>Human bites or deliberate injury from patients</w:t>
            </w:r>
          </w:p>
        </w:tc>
        <w:tc>
          <w:tcPr>
            <w:tcW w:w="1541" w:type="dxa"/>
          </w:tcPr>
          <w:p w14:paraId="540B67C0"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Reception and front-facing staff</w:t>
            </w:r>
          </w:p>
        </w:tc>
        <w:tc>
          <w:tcPr>
            <w:tcW w:w="1604" w:type="dxa"/>
          </w:tcPr>
          <w:p w14:paraId="54981F0B"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Broken skin exposure to blood or saliva; distress and injury</w:t>
            </w:r>
          </w:p>
        </w:tc>
        <w:tc>
          <w:tcPr>
            <w:tcW w:w="1551" w:type="dxa"/>
          </w:tcPr>
          <w:p w14:paraId="6AEBD138"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Lone working and violence policies in place; staff able to summon help</w:t>
            </w:r>
          </w:p>
        </w:tc>
        <w:tc>
          <w:tcPr>
            <w:tcW w:w="2403" w:type="dxa"/>
          </w:tcPr>
          <w:p w14:paraId="73C64495"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Record risk from aggressive patients; ensure staff know post-exposure process; consider Occupational Health review where risk is more than incidental</w:t>
            </w:r>
          </w:p>
        </w:tc>
        <w:tc>
          <w:tcPr>
            <w:tcW w:w="1701" w:type="dxa"/>
          </w:tcPr>
          <w:p w14:paraId="1841F00F"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Practice Manager / Safeguarding Lead</w:t>
            </w:r>
          </w:p>
        </w:tc>
        <w:tc>
          <w:tcPr>
            <w:tcW w:w="971" w:type="dxa"/>
          </w:tcPr>
          <w:p w14:paraId="34A32087"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M</w:t>
            </w:r>
          </w:p>
        </w:tc>
        <w:tc>
          <w:tcPr>
            <w:tcW w:w="1093" w:type="dxa"/>
          </w:tcPr>
          <w:p w14:paraId="7123B3E8"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L</w:t>
            </w:r>
          </w:p>
        </w:tc>
        <w:tc>
          <w:tcPr>
            <w:tcW w:w="1541" w:type="dxa"/>
          </w:tcPr>
          <w:p w14:paraId="01B9B575"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Annually and after incident</w:t>
            </w:r>
          </w:p>
        </w:tc>
      </w:tr>
      <w:tr w:rsidR="00841629" w14:paraId="1555CB3E" w14:textId="77777777" w:rsidTr="009F6B03">
        <w:tc>
          <w:tcPr>
            <w:cnfStyle w:val="001000000000" w:firstRow="0" w:lastRow="0" w:firstColumn="1" w:lastColumn="0" w:oddVBand="0" w:evenVBand="0" w:oddHBand="0" w:evenHBand="0" w:firstRowFirstColumn="0" w:firstRowLastColumn="0" w:lastRowFirstColumn="0" w:lastRowLastColumn="0"/>
            <w:tcW w:w="1543" w:type="dxa"/>
          </w:tcPr>
          <w:p w14:paraId="74992140" w14:textId="77777777" w:rsidR="00841629" w:rsidRDefault="00841629" w:rsidP="00485D9A">
            <w:r>
              <w:rPr>
                <w:b w:val="0"/>
              </w:rPr>
              <w:t xml:space="preserve">Contact with clinical waste </w:t>
            </w:r>
            <w:r>
              <w:rPr>
                <w:b w:val="0"/>
              </w:rPr>
              <w:lastRenderedPageBreak/>
              <w:t>or sharps bins</w:t>
            </w:r>
          </w:p>
        </w:tc>
        <w:tc>
          <w:tcPr>
            <w:tcW w:w="1541" w:type="dxa"/>
          </w:tcPr>
          <w:p w14:paraId="319D7A4E"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lastRenderedPageBreak/>
              <w:t>Cleaning, caretaking or support staff</w:t>
            </w:r>
          </w:p>
        </w:tc>
        <w:tc>
          <w:tcPr>
            <w:tcW w:w="1604" w:type="dxa"/>
          </w:tcPr>
          <w:p w14:paraId="0169C51A"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 xml:space="preserve">Contact with contaminated waste; sharps </w:t>
            </w:r>
            <w:r>
              <w:lastRenderedPageBreak/>
              <w:t>injury from improperly managed disposal</w:t>
            </w:r>
          </w:p>
        </w:tc>
        <w:tc>
          <w:tcPr>
            <w:tcW w:w="1551" w:type="dxa"/>
          </w:tcPr>
          <w:p w14:paraId="51BB23DA"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lastRenderedPageBreak/>
              <w:t xml:space="preserve">Waste segregation arrangements </w:t>
            </w:r>
            <w:r>
              <w:lastRenderedPageBreak/>
              <w:t>in place; sharps bins used in clinical rooms</w:t>
            </w:r>
          </w:p>
        </w:tc>
        <w:tc>
          <w:tcPr>
            <w:tcW w:w="2403" w:type="dxa"/>
          </w:tcPr>
          <w:p w14:paraId="135B3EE3"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lastRenderedPageBreak/>
              <w:t xml:space="preserve">Non-clinical staff must not decant or reach into waste bags or </w:t>
            </w:r>
            <w:r>
              <w:lastRenderedPageBreak/>
              <w:t>sharps bins; gloves must be worn where waste handling is part of duties; escalate any overfilled or damaged sharps container immediately</w:t>
            </w:r>
          </w:p>
        </w:tc>
        <w:tc>
          <w:tcPr>
            <w:tcW w:w="1701" w:type="dxa"/>
          </w:tcPr>
          <w:p w14:paraId="2E883D7E"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lastRenderedPageBreak/>
              <w:t>Practice Manager / IPC Lead</w:t>
            </w:r>
          </w:p>
        </w:tc>
        <w:tc>
          <w:tcPr>
            <w:tcW w:w="971" w:type="dxa"/>
          </w:tcPr>
          <w:p w14:paraId="3BABD900"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H</w:t>
            </w:r>
          </w:p>
        </w:tc>
        <w:tc>
          <w:tcPr>
            <w:tcW w:w="1093" w:type="dxa"/>
          </w:tcPr>
          <w:p w14:paraId="4AB0A0C1"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L</w:t>
            </w:r>
          </w:p>
        </w:tc>
        <w:tc>
          <w:tcPr>
            <w:tcW w:w="1541" w:type="dxa"/>
          </w:tcPr>
          <w:p w14:paraId="7513D816"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Annually</w:t>
            </w:r>
          </w:p>
        </w:tc>
      </w:tr>
      <w:tr w:rsidR="00841629" w14:paraId="5B3F3A35" w14:textId="77777777" w:rsidTr="009F6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3" w:type="dxa"/>
          </w:tcPr>
          <w:p w14:paraId="1762B7C2" w14:textId="77777777" w:rsidR="00841629" w:rsidRDefault="00841629" w:rsidP="00485D9A">
            <w:r>
              <w:rPr>
                <w:b w:val="0"/>
              </w:rPr>
              <w:t>Inadequate use of PPE or poor hand hygiene</w:t>
            </w:r>
          </w:p>
        </w:tc>
        <w:tc>
          <w:tcPr>
            <w:tcW w:w="1541" w:type="dxa"/>
          </w:tcPr>
          <w:p w14:paraId="413043BA"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Non-clinical staff</w:t>
            </w:r>
          </w:p>
        </w:tc>
        <w:tc>
          <w:tcPr>
            <w:tcW w:w="1604" w:type="dxa"/>
          </w:tcPr>
          <w:p w14:paraId="73A2FD86"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Increased exposure risk from samples, surfaces, waste and spillages</w:t>
            </w:r>
          </w:p>
        </w:tc>
        <w:tc>
          <w:tcPr>
            <w:tcW w:w="1551" w:type="dxa"/>
          </w:tcPr>
          <w:p w14:paraId="4EE4FE68"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IPC induction and basic training provided</w:t>
            </w:r>
          </w:p>
        </w:tc>
        <w:tc>
          <w:tcPr>
            <w:tcW w:w="2403" w:type="dxa"/>
          </w:tcPr>
          <w:p w14:paraId="4200B805"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Refresh IPC training; monitor compliance; ensure gloves and hand hygiene products are available in relevant areas</w:t>
            </w:r>
          </w:p>
        </w:tc>
        <w:tc>
          <w:tcPr>
            <w:tcW w:w="1701" w:type="dxa"/>
          </w:tcPr>
          <w:p w14:paraId="30A0624C"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Line Manager / IPC Lead</w:t>
            </w:r>
          </w:p>
        </w:tc>
        <w:tc>
          <w:tcPr>
            <w:tcW w:w="971" w:type="dxa"/>
          </w:tcPr>
          <w:p w14:paraId="13E7C638"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M</w:t>
            </w:r>
          </w:p>
        </w:tc>
        <w:tc>
          <w:tcPr>
            <w:tcW w:w="1093" w:type="dxa"/>
          </w:tcPr>
          <w:p w14:paraId="3DAC0632"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L</w:t>
            </w:r>
          </w:p>
        </w:tc>
        <w:tc>
          <w:tcPr>
            <w:tcW w:w="1541" w:type="dxa"/>
          </w:tcPr>
          <w:p w14:paraId="0B767A51" w14:textId="77777777" w:rsidR="00841629" w:rsidRDefault="00841629" w:rsidP="00485D9A">
            <w:pPr>
              <w:cnfStyle w:val="000000100000" w:firstRow="0" w:lastRow="0" w:firstColumn="0" w:lastColumn="0" w:oddVBand="0" w:evenVBand="0" w:oddHBand="1" w:evenHBand="0" w:firstRowFirstColumn="0" w:firstRowLastColumn="0" w:lastRowFirstColumn="0" w:lastRowLastColumn="0"/>
            </w:pPr>
            <w:r>
              <w:t>6-monthly</w:t>
            </w:r>
          </w:p>
        </w:tc>
      </w:tr>
      <w:tr w:rsidR="00841629" w14:paraId="7FBD7615" w14:textId="77777777" w:rsidTr="009F6B03">
        <w:tc>
          <w:tcPr>
            <w:cnfStyle w:val="001000000000" w:firstRow="0" w:lastRow="0" w:firstColumn="1" w:lastColumn="0" w:oddVBand="0" w:evenVBand="0" w:oddHBand="0" w:evenHBand="0" w:firstRowFirstColumn="0" w:firstRowLastColumn="0" w:lastRowFirstColumn="0" w:lastRowLastColumn="0"/>
            <w:tcW w:w="1543" w:type="dxa"/>
          </w:tcPr>
          <w:p w14:paraId="23A8F9B8" w14:textId="77777777" w:rsidR="00841629" w:rsidRDefault="00841629" w:rsidP="00485D9A">
            <w:r>
              <w:rPr>
                <w:b w:val="0"/>
              </w:rPr>
              <w:t>Failure to report exposure incidents promptly</w:t>
            </w:r>
          </w:p>
        </w:tc>
        <w:tc>
          <w:tcPr>
            <w:tcW w:w="1541" w:type="dxa"/>
          </w:tcPr>
          <w:p w14:paraId="2480C1FD"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Non-clinical staff</w:t>
            </w:r>
          </w:p>
        </w:tc>
        <w:tc>
          <w:tcPr>
            <w:tcW w:w="1604" w:type="dxa"/>
          </w:tcPr>
          <w:p w14:paraId="7A9EDEF3"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Delay in post-exposure assessment and treatment</w:t>
            </w:r>
          </w:p>
        </w:tc>
        <w:tc>
          <w:tcPr>
            <w:tcW w:w="1551" w:type="dxa"/>
          </w:tcPr>
          <w:p w14:paraId="3BDBFA87"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Incident reporting system available</w:t>
            </w:r>
          </w:p>
        </w:tc>
        <w:tc>
          <w:tcPr>
            <w:tcW w:w="2403" w:type="dxa"/>
          </w:tcPr>
          <w:p w14:paraId="0126D667"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Reinforce immediate reporting of bites, splashes, specimen leaks and skin exposure; ensure managers know escalation route to Occupational Health / urgent clinical review</w:t>
            </w:r>
          </w:p>
        </w:tc>
        <w:tc>
          <w:tcPr>
            <w:tcW w:w="1701" w:type="dxa"/>
          </w:tcPr>
          <w:p w14:paraId="49FBDA3A"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Practice Manager</w:t>
            </w:r>
          </w:p>
        </w:tc>
        <w:tc>
          <w:tcPr>
            <w:tcW w:w="971" w:type="dxa"/>
          </w:tcPr>
          <w:p w14:paraId="5DEFAE5F"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M</w:t>
            </w:r>
          </w:p>
        </w:tc>
        <w:tc>
          <w:tcPr>
            <w:tcW w:w="1093" w:type="dxa"/>
          </w:tcPr>
          <w:p w14:paraId="4F016CDE"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L</w:t>
            </w:r>
          </w:p>
        </w:tc>
        <w:tc>
          <w:tcPr>
            <w:tcW w:w="1541" w:type="dxa"/>
          </w:tcPr>
          <w:p w14:paraId="04BA723E" w14:textId="77777777" w:rsidR="00841629" w:rsidRDefault="00841629" w:rsidP="00485D9A">
            <w:pPr>
              <w:cnfStyle w:val="000000000000" w:firstRow="0" w:lastRow="0" w:firstColumn="0" w:lastColumn="0" w:oddVBand="0" w:evenVBand="0" w:oddHBand="0" w:evenHBand="0" w:firstRowFirstColumn="0" w:firstRowLastColumn="0" w:lastRowFirstColumn="0" w:lastRowLastColumn="0"/>
            </w:pPr>
            <w:r>
              <w:t>After each incident</w:t>
            </w:r>
          </w:p>
        </w:tc>
      </w:tr>
    </w:tbl>
    <w:p w14:paraId="41024AE3" w14:textId="77777777" w:rsidR="00085FEB" w:rsidRDefault="00085FEB">
      <w:pPr>
        <w:sectPr w:rsidR="00085FEB" w:rsidSect="00B01F1D">
          <w:pgSz w:w="16838" w:h="11906" w:orient="landscape"/>
          <w:pgMar w:top="1440" w:right="1440" w:bottom="1440" w:left="1440" w:header="708" w:footer="708" w:gutter="0"/>
          <w:cols w:space="708"/>
          <w:docGrid w:linePitch="360"/>
        </w:sectPr>
      </w:pPr>
    </w:p>
    <w:p w14:paraId="470C71BB" w14:textId="77777777" w:rsidR="009344E5" w:rsidRDefault="009344E5" w:rsidP="009344E5">
      <w:pPr>
        <w:pStyle w:val="DocTitle"/>
        <w:jc w:val="center"/>
      </w:pPr>
      <w:r>
        <w:lastRenderedPageBreak/>
        <w:t>Hepatitis B Vaccination Risk Assessment Checklist</w:t>
      </w:r>
    </w:p>
    <w:p w14:paraId="4373EF05" w14:textId="77777777" w:rsidR="009344E5" w:rsidRDefault="009344E5" w:rsidP="009344E5">
      <w:pPr>
        <w:pStyle w:val="DocSubtitle"/>
        <w:jc w:val="center"/>
      </w:pPr>
      <w:r>
        <w:t>Non-Clinical Staff</w:t>
      </w:r>
    </w:p>
    <w:tbl>
      <w:tblPr>
        <w:tblStyle w:val="TableGrid"/>
        <w:tblW w:w="0" w:type="auto"/>
        <w:jc w:val="center"/>
        <w:tblLook w:val="04A0" w:firstRow="1" w:lastRow="0" w:firstColumn="1" w:lastColumn="0" w:noHBand="0" w:noVBand="1"/>
      </w:tblPr>
      <w:tblGrid>
        <w:gridCol w:w="10190"/>
      </w:tblGrid>
      <w:tr w:rsidR="009344E5" w14:paraId="53A20B0E" w14:textId="77777777" w:rsidTr="00485D9A">
        <w:trPr>
          <w:jc w:val="center"/>
        </w:trPr>
        <w:tc>
          <w:tcPr>
            <w:tcW w:w="10200" w:type="dxa"/>
            <w:shd w:val="clear" w:color="auto" w:fill="EAF2F8"/>
          </w:tcPr>
          <w:p w14:paraId="51A575B9" w14:textId="77777777" w:rsidR="009344E5" w:rsidRDefault="009344E5" w:rsidP="00485D9A">
            <w:r>
              <w:rPr>
                <w:rFonts w:ascii="Aptos" w:hAnsi="Aptos"/>
                <w:sz w:val="21"/>
              </w:rPr>
              <w:t>This checklist supports a proportionate assessment of whether Hepatitis B vaccination is required, should be offered, or is not necessary for non-clinical staff. It aligns with Care Quality Commission (CQC) Quality Statements, Infection Prevention and Control (IPC) requirements, and COSHH controls for biological risk.</w:t>
            </w:r>
          </w:p>
        </w:tc>
      </w:tr>
    </w:tbl>
    <w:p w14:paraId="28D5836B" w14:textId="77777777" w:rsidR="009344E5" w:rsidRDefault="009344E5" w:rsidP="009344E5">
      <w:pPr>
        <w:pStyle w:val="SectionHeading"/>
      </w:pPr>
      <w:r>
        <w:t>Staff and Assessment Details</w:t>
      </w:r>
    </w:p>
    <w:tbl>
      <w:tblPr>
        <w:tblStyle w:val="TableGrid"/>
        <w:tblW w:w="0" w:type="auto"/>
        <w:jc w:val="center"/>
        <w:tblLook w:val="04A0" w:firstRow="1" w:lastRow="0" w:firstColumn="1" w:lastColumn="0" w:noHBand="0" w:noVBand="1"/>
      </w:tblPr>
      <w:tblGrid>
        <w:gridCol w:w="2835"/>
        <w:gridCol w:w="6236"/>
      </w:tblGrid>
      <w:tr w:rsidR="009344E5" w14:paraId="0D59F758" w14:textId="77777777" w:rsidTr="00485D9A">
        <w:trPr>
          <w:jc w:val="center"/>
        </w:trPr>
        <w:tc>
          <w:tcPr>
            <w:tcW w:w="2835" w:type="dxa"/>
            <w:shd w:val="clear" w:color="auto" w:fill="D9EAF7"/>
            <w:vAlign w:val="center"/>
          </w:tcPr>
          <w:p w14:paraId="221F6781" w14:textId="77777777" w:rsidR="009344E5" w:rsidRDefault="009344E5" w:rsidP="00485D9A">
            <w:r>
              <w:rPr>
                <w:rFonts w:ascii="Aptos" w:hAnsi="Aptos"/>
                <w:b/>
                <w:sz w:val="21"/>
              </w:rPr>
              <w:t>Practice</w:t>
            </w:r>
          </w:p>
        </w:tc>
        <w:tc>
          <w:tcPr>
            <w:tcW w:w="6236" w:type="dxa"/>
            <w:vAlign w:val="center"/>
          </w:tcPr>
          <w:p w14:paraId="29D28C38" w14:textId="77777777" w:rsidR="009344E5" w:rsidRDefault="009344E5" w:rsidP="00485D9A">
            <w:r>
              <w:rPr>
                <w:rFonts w:ascii="Aptos" w:hAnsi="Aptos"/>
                <w:sz w:val="21"/>
              </w:rPr>
              <w:t xml:space="preserve">     </w:t>
            </w:r>
          </w:p>
        </w:tc>
      </w:tr>
      <w:tr w:rsidR="009344E5" w14:paraId="4883C83B" w14:textId="77777777" w:rsidTr="00485D9A">
        <w:trPr>
          <w:jc w:val="center"/>
        </w:trPr>
        <w:tc>
          <w:tcPr>
            <w:tcW w:w="2835" w:type="dxa"/>
            <w:shd w:val="clear" w:color="auto" w:fill="D9EAF7"/>
            <w:vAlign w:val="center"/>
          </w:tcPr>
          <w:p w14:paraId="4F72AAE2" w14:textId="77777777" w:rsidR="009344E5" w:rsidRDefault="009344E5" w:rsidP="00485D9A">
            <w:r>
              <w:rPr>
                <w:rFonts w:ascii="Aptos" w:hAnsi="Aptos"/>
                <w:b/>
                <w:sz w:val="21"/>
              </w:rPr>
              <w:t>Staff Name</w:t>
            </w:r>
          </w:p>
        </w:tc>
        <w:tc>
          <w:tcPr>
            <w:tcW w:w="6236" w:type="dxa"/>
            <w:vAlign w:val="center"/>
          </w:tcPr>
          <w:p w14:paraId="7D12779D" w14:textId="77777777" w:rsidR="009344E5" w:rsidRDefault="009344E5" w:rsidP="00485D9A">
            <w:r>
              <w:rPr>
                <w:rFonts w:ascii="Aptos" w:hAnsi="Aptos"/>
                <w:sz w:val="21"/>
              </w:rPr>
              <w:t xml:space="preserve">     </w:t>
            </w:r>
          </w:p>
        </w:tc>
      </w:tr>
      <w:tr w:rsidR="009344E5" w14:paraId="1AE628E9" w14:textId="77777777" w:rsidTr="00485D9A">
        <w:trPr>
          <w:jc w:val="center"/>
        </w:trPr>
        <w:tc>
          <w:tcPr>
            <w:tcW w:w="2835" w:type="dxa"/>
            <w:shd w:val="clear" w:color="auto" w:fill="D9EAF7"/>
            <w:vAlign w:val="center"/>
          </w:tcPr>
          <w:p w14:paraId="02A56591" w14:textId="77777777" w:rsidR="009344E5" w:rsidRDefault="009344E5" w:rsidP="00485D9A">
            <w:r>
              <w:rPr>
                <w:rFonts w:ascii="Aptos" w:hAnsi="Aptos"/>
                <w:b/>
                <w:sz w:val="21"/>
              </w:rPr>
              <w:t>Role</w:t>
            </w:r>
          </w:p>
        </w:tc>
        <w:tc>
          <w:tcPr>
            <w:tcW w:w="6236" w:type="dxa"/>
            <w:vAlign w:val="center"/>
          </w:tcPr>
          <w:p w14:paraId="1E360EE5" w14:textId="77777777" w:rsidR="009344E5" w:rsidRDefault="009344E5" w:rsidP="00485D9A">
            <w:r>
              <w:rPr>
                <w:rFonts w:ascii="Aptos" w:hAnsi="Aptos"/>
                <w:sz w:val="21"/>
              </w:rPr>
              <w:t xml:space="preserve">     </w:t>
            </w:r>
          </w:p>
        </w:tc>
      </w:tr>
      <w:tr w:rsidR="009344E5" w14:paraId="5186DBE6" w14:textId="77777777" w:rsidTr="00485D9A">
        <w:trPr>
          <w:jc w:val="center"/>
        </w:trPr>
        <w:tc>
          <w:tcPr>
            <w:tcW w:w="2835" w:type="dxa"/>
            <w:shd w:val="clear" w:color="auto" w:fill="D9EAF7"/>
            <w:vAlign w:val="center"/>
          </w:tcPr>
          <w:p w14:paraId="0ABC223A" w14:textId="77777777" w:rsidR="009344E5" w:rsidRDefault="009344E5" w:rsidP="00485D9A">
            <w:r>
              <w:rPr>
                <w:rFonts w:ascii="Aptos" w:hAnsi="Aptos"/>
                <w:b/>
                <w:sz w:val="21"/>
              </w:rPr>
              <w:t>Date</w:t>
            </w:r>
          </w:p>
        </w:tc>
        <w:tc>
          <w:tcPr>
            <w:tcW w:w="6236" w:type="dxa"/>
            <w:vAlign w:val="center"/>
          </w:tcPr>
          <w:p w14:paraId="6E79CBA8" w14:textId="77777777" w:rsidR="009344E5" w:rsidRDefault="009344E5" w:rsidP="00485D9A">
            <w:r>
              <w:rPr>
                <w:rFonts w:ascii="Aptos" w:hAnsi="Aptos"/>
                <w:sz w:val="21"/>
              </w:rPr>
              <w:t xml:space="preserve">     </w:t>
            </w:r>
          </w:p>
        </w:tc>
      </w:tr>
      <w:tr w:rsidR="009344E5" w14:paraId="7B1CD675" w14:textId="77777777" w:rsidTr="00485D9A">
        <w:trPr>
          <w:jc w:val="center"/>
        </w:trPr>
        <w:tc>
          <w:tcPr>
            <w:tcW w:w="2835" w:type="dxa"/>
            <w:shd w:val="clear" w:color="auto" w:fill="D9EAF7"/>
            <w:vAlign w:val="center"/>
          </w:tcPr>
          <w:p w14:paraId="3DAEE7BD" w14:textId="77777777" w:rsidR="009344E5" w:rsidRDefault="009344E5" w:rsidP="00485D9A">
            <w:r>
              <w:rPr>
                <w:rFonts w:ascii="Aptos" w:hAnsi="Aptos"/>
                <w:b/>
                <w:sz w:val="21"/>
              </w:rPr>
              <w:t>Assessor</w:t>
            </w:r>
          </w:p>
        </w:tc>
        <w:tc>
          <w:tcPr>
            <w:tcW w:w="6236" w:type="dxa"/>
            <w:vAlign w:val="center"/>
          </w:tcPr>
          <w:p w14:paraId="79FD07B0" w14:textId="77777777" w:rsidR="009344E5" w:rsidRDefault="009344E5" w:rsidP="00485D9A">
            <w:r>
              <w:rPr>
                <w:rFonts w:ascii="Aptos" w:hAnsi="Aptos"/>
                <w:sz w:val="21"/>
              </w:rPr>
              <w:t xml:space="preserve">     </w:t>
            </w:r>
          </w:p>
        </w:tc>
      </w:tr>
    </w:tbl>
    <w:p w14:paraId="1C5C3985" w14:textId="77777777" w:rsidR="009344E5" w:rsidRDefault="009344E5" w:rsidP="009344E5"/>
    <w:p w14:paraId="19177644" w14:textId="77777777" w:rsidR="009344E5" w:rsidRDefault="009344E5" w:rsidP="009344E5">
      <w:pPr>
        <w:pStyle w:val="SectionHeading"/>
      </w:pPr>
      <w:r>
        <w:t>1. Exposure Risk Assessment</w:t>
      </w:r>
    </w:p>
    <w:p w14:paraId="3420C51A" w14:textId="77777777" w:rsidR="009344E5" w:rsidRDefault="009344E5" w:rsidP="009344E5">
      <w:pPr>
        <w:spacing w:after="60"/>
      </w:pPr>
      <w:r>
        <w:t>Does the role involve any realistic potential exposure to blood or body fluids?</w:t>
      </w:r>
    </w:p>
    <w:p w14:paraId="68364B56" w14:textId="4D213280" w:rsidR="009344E5" w:rsidRDefault="009344E5" w:rsidP="009344E5">
      <w:pPr>
        <w:spacing w:after="20"/>
        <w:ind w:left="340"/>
      </w:pPr>
      <w:r>
        <w:t>☐ No - Hepatitis B vaccination not required</w:t>
      </w:r>
      <w:r w:rsidR="009F6B03">
        <w:t xml:space="preserve"> </w:t>
      </w:r>
    </w:p>
    <w:p w14:paraId="05F51ABB" w14:textId="1AA4538A" w:rsidR="009344E5" w:rsidRDefault="009344E5" w:rsidP="009344E5">
      <w:pPr>
        <w:spacing w:after="20"/>
        <w:ind w:left="340"/>
      </w:pPr>
      <w:r>
        <w:t>☐ Yes - proceed to further risk assessment</w:t>
      </w:r>
      <w:r w:rsidR="005774C6">
        <w:br/>
      </w:r>
    </w:p>
    <w:p w14:paraId="270F2E69" w14:textId="77777777" w:rsidR="009344E5" w:rsidRDefault="009344E5" w:rsidP="009344E5">
      <w:pPr>
        <w:pStyle w:val="SmallNote"/>
      </w:pPr>
      <w:r>
        <w:t>Examples may include handling clinical waste, cleaning clinical areas, handling sharps bins, handling specimens, cleaning blood or body fluid spillages, or foreseeable contact with drips, splashes, or bites.</w:t>
      </w:r>
    </w:p>
    <w:p w14:paraId="0C7427A6" w14:textId="77777777" w:rsidR="009344E5" w:rsidRDefault="009344E5" w:rsidP="009344E5"/>
    <w:p w14:paraId="5F21B2F1" w14:textId="77777777" w:rsidR="009344E5" w:rsidRDefault="009344E5" w:rsidP="009344E5">
      <w:pPr>
        <w:pStyle w:val="SectionHeading"/>
      </w:pPr>
      <w:r>
        <w:t>2. Risk of Sharps Injury or Contamination</w:t>
      </w:r>
    </w:p>
    <w:p w14:paraId="2ADAA4C3" w14:textId="77777777" w:rsidR="009344E5" w:rsidRDefault="009344E5" w:rsidP="009344E5">
      <w:pPr>
        <w:spacing w:after="20"/>
        <w:ind w:left="340"/>
      </w:pPr>
      <w:r>
        <w:t>☐ No foreseeable risk</w:t>
      </w:r>
    </w:p>
    <w:p w14:paraId="20EFA52F" w14:textId="77777777" w:rsidR="009344E5" w:rsidRDefault="009344E5" w:rsidP="009344E5">
      <w:pPr>
        <w:spacing w:after="20"/>
        <w:ind w:left="340"/>
      </w:pPr>
      <w:r>
        <w:t>☐ Low risk - indirect exposure only</w:t>
      </w:r>
    </w:p>
    <w:p w14:paraId="24A0B579" w14:textId="2D258E4E" w:rsidR="009344E5" w:rsidRDefault="009344E5" w:rsidP="009344E5">
      <w:pPr>
        <w:spacing w:after="20"/>
        <w:ind w:left="340"/>
      </w:pPr>
      <w:r>
        <w:t>☐ Moderate / high risk - direct handling of contaminated items or proximity to unsafe sharps disposal</w:t>
      </w:r>
      <w:r w:rsidR="005774C6">
        <w:br/>
      </w:r>
    </w:p>
    <w:p w14:paraId="445E9BAE" w14:textId="77777777" w:rsidR="009344E5" w:rsidRDefault="009344E5" w:rsidP="009344E5">
      <w:pPr>
        <w:pStyle w:val="SmallNote"/>
      </w:pPr>
      <w:r>
        <w:t>This assessment should reflect COSHH requirements for exposure to biological hazards.</w:t>
      </w:r>
    </w:p>
    <w:p w14:paraId="683A915F" w14:textId="77777777" w:rsidR="009344E5" w:rsidRDefault="009344E5" w:rsidP="009344E5">
      <w:pPr>
        <w:pStyle w:val="SectionHeading"/>
      </w:pPr>
      <w:r>
        <w:t>3. Work Environment</w:t>
      </w:r>
    </w:p>
    <w:p w14:paraId="29E7D20A" w14:textId="77777777" w:rsidR="009344E5" w:rsidRDefault="009344E5" w:rsidP="009344E5">
      <w:pPr>
        <w:spacing w:after="20"/>
        <w:ind w:left="340"/>
      </w:pPr>
      <w:r>
        <w:t>☐ Office-based only</w:t>
      </w:r>
    </w:p>
    <w:p w14:paraId="3D718C05" w14:textId="77777777" w:rsidR="009344E5" w:rsidRDefault="009344E5" w:rsidP="009344E5">
      <w:pPr>
        <w:spacing w:after="20"/>
        <w:ind w:left="340"/>
      </w:pPr>
      <w:r>
        <w:t>☐ Mixed clinical and administrative areas</w:t>
      </w:r>
    </w:p>
    <w:p w14:paraId="4815731C" w14:textId="77777777" w:rsidR="009344E5" w:rsidRDefault="009344E5" w:rsidP="009344E5">
      <w:pPr>
        <w:spacing w:after="20"/>
        <w:ind w:left="340"/>
      </w:pPr>
      <w:r>
        <w:t>☐ Regular work in clinical environments</w:t>
      </w:r>
    </w:p>
    <w:p w14:paraId="3188E580" w14:textId="77777777" w:rsidR="009344E5" w:rsidRDefault="009344E5" w:rsidP="009344E5">
      <w:pPr>
        <w:pStyle w:val="SectionHeading"/>
      </w:pPr>
      <w:r>
        <w:t>4. Existing Control Measures (IPC Compliance)</w:t>
      </w:r>
    </w:p>
    <w:p w14:paraId="6BD9210F" w14:textId="77777777" w:rsidR="009344E5" w:rsidRDefault="009344E5" w:rsidP="009344E5">
      <w:r>
        <w:t>The following controls should be confirmed as in place in line with local IPC policy:</w:t>
      </w:r>
    </w:p>
    <w:p w14:paraId="03D63A2F" w14:textId="77777777" w:rsidR="009344E5" w:rsidRDefault="009344E5" w:rsidP="009344E5">
      <w:pPr>
        <w:spacing w:after="20"/>
        <w:ind w:left="340"/>
      </w:pPr>
      <w:r>
        <w:t>☐ Appropriate personal protective equipment (PPE) is available and used correctly</w:t>
      </w:r>
    </w:p>
    <w:p w14:paraId="4C82C8C2" w14:textId="77777777" w:rsidR="009344E5" w:rsidRDefault="009344E5" w:rsidP="009344E5">
      <w:pPr>
        <w:spacing w:after="20"/>
        <w:ind w:left="340"/>
      </w:pPr>
      <w:r>
        <w:t>☐ Staff have received infection prevention and control training</w:t>
      </w:r>
    </w:p>
    <w:p w14:paraId="505C9058" w14:textId="77777777" w:rsidR="009344E5" w:rsidRDefault="009344E5" w:rsidP="009344E5">
      <w:pPr>
        <w:spacing w:after="20"/>
        <w:ind w:left="340"/>
      </w:pPr>
      <w:r>
        <w:t>☐ Clinical waste and sharps are handled and disposed of safely</w:t>
      </w:r>
    </w:p>
    <w:p w14:paraId="0A1A5FF5" w14:textId="77777777" w:rsidR="009344E5" w:rsidRDefault="009344E5" w:rsidP="009344E5">
      <w:pPr>
        <w:spacing w:after="20"/>
        <w:ind w:left="340"/>
      </w:pPr>
      <w:r>
        <w:t>☐ Spill kits and exposure response procedures are available</w:t>
      </w:r>
    </w:p>
    <w:p w14:paraId="30DFE145" w14:textId="77777777" w:rsidR="009344E5" w:rsidRDefault="009344E5" w:rsidP="009344E5">
      <w:pPr>
        <w:spacing w:after="20"/>
        <w:ind w:left="340"/>
      </w:pPr>
      <w:r>
        <w:t>☐ Exposure incidents can be reported promptly through a clear incident process</w:t>
      </w:r>
    </w:p>
    <w:p w14:paraId="17D1CE70" w14:textId="77777777" w:rsidR="009344E5" w:rsidRDefault="009344E5" w:rsidP="009344E5">
      <w:pPr>
        <w:spacing w:after="20"/>
        <w:ind w:left="340"/>
      </w:pPr>
      <w:r>
        <w:t>☐ Gloves are worn when handling samples or contaminated items</w:t>
      </w:r>
    </w:p>
    <w:p w14:paraId="66E96545" w14:textId="77777777" w:rsidR="009344E5" w:rsidRDefault="009344E5" w:rsidP="009344E5">
      <w:pPr>
        <w:spacing w:after="20"/>
        <w:ind w:left="340"/>
      </w:pPr>
      <w:r>
        <w:t>☐ Bites, splashes, drips, and skin exposure incidents are reported immediately</w:t>
      </w:r>
    </w:p>
    <w:p w14:paraId="22DEE5F4" w14:textId="77777777" w:rsidR="009344E5" w:rsidRDefault="009344E5" w:rsidP="009344E5"/>
    <w:p w14:paraId="5C288BF8" w14:textId="77777777" w:rsidR="009344E5" w:rsidRDefault="009344E5" w:rsidP="009344E5">
      <w:pPr>
        <w:pStyle w:val="SectionHeading"/>
      </w:pPr>
      <w:r>
        <w:t>5. Risk Evaluation and Outcome</w:t>
      </w:r>
    </w:p>
    <w:p w14:paraId="1A8E8A21" w14:textId="77777777" w:rsidR="009344E5" w:rsidRDefault="009344E5" w:rsidP="009344E5">
      <w:pPr>
        <w:spacing w:after="20"/>
        <w:ind w:left="340"/>
      </w:pPr>
      <w:r>
        <w:t>☐ Low risk - no Hepatitis B vaccination required</w:t>
      </w:r>
    </w:p>
    <w:p w14:paraId="6955D014" w14:textId="77777777" w:rsidR="009344E5" w:rsidRDefault="009344E5" w:rsidP="009344E5">
      <w:pPr>
        <w:spacing w:after="20"/>
        <w:ind w:left="340"/>
      </w:pPr>
      <w:r>
        <w:t>☐ Moderate risk - vaccination should be considered</w:t>
      </w:r>
    </w:p>
    <w:p w14:paraId="1C1C8308" w14:textId="2DD1DA64" w:rsidR="009344E5" w:rsidRDefault="009344E5" w:rsidP="009344E5">
      <w:pPr>
        <w:spacing w:after="20"/>
        <w:ind w:left="340"/>
      </w:pPr>
      <w:r>
        <w:t>☐ High risk - Hepatitis B vaccination recommended</w:t>
      </w:r>
      <w:r w:rsidR="005774C6">
        <w:br/>
      </w:r>
    </w:p>
    <w:p w14:paraId="0CDB95BD" w14:textId="77777777" w:rsidR="009344E5" w:rsidRDefault="009344E5" w:rsidP="009344E5">
      <w:pPr>
        <w:pStyle w:val="SmallNote"/>
      </w:pPr>
      <w:r>
        <w:t>This section supports a proportionate, role-based approach to protecting staff.</w:t>
      </w:r>
    </w:p>
    <w:p w14:paraId="5F0C203E" w14:textId="77777777" w:rsidR="009344E5" w:rsidRDefault="009344E5" w:rsidP="009344E5"/>
    <w:p w14:paraId="6F3DC748" w14:textId="77777777" w:rsidR="009344E5" w:rsidRDefault="009344E5" w:rsidP="009344E5">
      <w:pPr>
        <w:pStyle w:val="SectionHeading"/>
      </w:pPr>
      <w:r>
        <w:t>6. Decision</w:t>
      </w:r>
    </w:p>
    <w:p w14:paraId="3013106A" w14:textId="77777777" w:rsidR="009344E5" w:rsidRDefault="009344E5" w:rsidP="009344E5">
      <w:pPr>
        <w:spacing w:after="20"/>
        <w:ind w:left="340"/>
      </w:pPr>
      <w:r>
        <w:t>☐ Hepatitis B vaccination not required</w:t>
      </w:r>
    </w:p>
    <w:p w14:paraId="666984B4" w14:textId="77777777" w:rsidR="009344E5" w:rsidRDefault="009344E5" w:rsidP="009344E5">
      <w:pPr>
        <w:spacing w:after="20"/>
        <w:ind w:left="340"/>
      </w:pPr>
      <w:r>
        <w:t>☐ Hepatitis B vaccination offered</w:t>
      </w:r>
    </w:p>
    <w:p w14:paraId="7914D131" w14:textId="66B40B16" w:rsidR="009344E5" w:rsidRDefault="009344E5" w:rsidP="009344E5">
      <w:pPr>
        <w:spacing w:after="20"/>
        <w:ind w:left="340"/>
      </w:pPr>
      <w:r>
        <w:t>☐ Hepatitis B vaccination required</w:t>
      </w:r>
      <w:r w:rsidR="005774C6">
        <w:br/>
      </w:r>
    </w:p>
    <w:p w14:paraId="2EAA42E8" w14:textId="77777777" w:rsidR="009344E5" w:rsidRDefault="009344E5" w:rsidP="009344E5">
      <w:pPr>
        <w:pStyle w:val="SmallNote"/>
      </w:pPr>
      <w:r>
        <w:t>The final decision should be consistent with IPC policy and Occupational Health guidance.</w:t>
      </w:r>
    </w:p>
    <w:p w14:paraId="54D58CBB" w14:textId="77777777" w:rsidR="009344E5" w:rsidRDefault="009344E5" w:rsidP="009344E5"/>
    <w:p w14:paraId="1F84C298" w14:textId="77777777" w:rsidR="009344E5" w:rsidRDefault="009344E5" w:rsidP="009344E5">
      <w:pPr>
        <w:pStyle w:val="SectionHeading"/>
      </w:pPr>
      <w:r>
        <w:t>7. Additional Actions</w:t>
      </w:r>
    </w:p>
    <w:p w14:paraId="432A00D5" w14:textId="77777777" w:rsidR="009344E5" w:rsidRDefault="009344E5" w:rsidP="009344E5">
      <w:pPr>
        <w:spacing w:after="20"/>
        <w:ind w:left="340"/>
      </w:pPr>
      <w:r>
        <w:t>☐ Further training required</w:t>
      </w:r>
    </w:p>
    <w:p w14:paraId="3D6ECD63" w14:textId="77777777" w:rsidR="009344E5" w:rsidRDefault="009344E5" w:rsidP="009344E5">
      <w:pPr>
        <w:spacing w:after="20"/>
        <w:ind w:left="340"/>
      </w:pPr>
      <w:r>
        <w:t>☐ PPE provision or review required</w:t>
      </w:r>
    </w:p>
    <w:p w14:paraId="5ECA18EB" w14:textId="77777777" w:rsidR="009344E5" w:rsidRDefault="009344E5" w:rsidP="009344E5">
      <w:pPr>
        <w:spacing w:after="20"/>
        <w:ind w:left="340"/>
      </w:pPr>
      <w:r>
        <w:t>☐ Role or duties to be reviewed</w:t>
      </w:r>
    </w:p>
    <w:p w14:paraId="0A2AD3EE" w14:textId="77777777" w:rsidR="009344E5" w:rsidRDefault="009344E5" w:rsidP="009344E5">
      <w:pPr>
        <w:spacing w:after="20"/>
        <w:ind w:left="340"/>
      </w:pPr>
      <w:r>
        <w:t>☐ Occupational Health referral required</w:t>
      </w:r>
    </w:p>
    <w:p w14:paraId="2810FBCC" w14:textId="77777777" w:rsidR="009344E5" w:rsidRDefault="009344E5" w:rsidP="009344E5">
      <w:pPr>
        <w:spacing w:after="20"/>
        <w:ind w:left="340"/>
      </w:pPr>
      <w:r>
        <w:t>☐ Sharps or waste handling process review required</w:t>
      </w:r>
    </w:p>
    <w:p w14:paraId="2E988CA3" w14:textId="77777777" w:rsidR="009344E5" w:rsidRDefault="009344E5" w:rsidP="009344E5">
      <w:pPr>
        <w:spacing w:after="20"/>
        <w:ind w:left="340"/>
      </w:pPr>
      <w:r>
        <w:t>☐ Violence or aggression risk review required</w:t>
      </w:r>
    </w:p>
    <w:p w14:paraId="2D5826A7" w14:textId="77777777" w:rsidR="009344E5" w:rsidRDefault="009344E5" w:rsidP="009344E5"/>
    <w:p w14:paraId="29CF9B8D" w14:textId="77777777" w:rsidR="009344E5" w:rsidRDefault="009344E5" w:rsidP="009344E5">
      <w:pPr>
        <w:pStyle w:val="SectionHeading"/>
      </w:pPr>
      <w:r>
        <w:t>8. Governance and Review</w:t>
      </w:r>
    </w:p>
    <w:p w14:paraId="1C8F439F" w14:textId="77777777" w:rsidR="009344E5" w:rsidRDefault="009344E5" w:rsidP="009344E5">
      <w:r>
        <w:t>This assessment demonstrates compliance with:</w:t>
      </w:r>
    </w:p>
    <w:p w14:paraId="3F21E49B" w14:textId="77777777" w:rsidR="009344E5" w:rsidRDefault="009344E5" w:rsidP="009344E5">
      <w:pPr>
        <w:spacing w:after="20"/>
        <w:ind w:left="340"/>
      </w:pPr>
      <w:r>
        <w:t>• CQC Quality Statements (Safe)</w:t>
      </w:r>
    </w:p>
    <w:p w14:paraId="124BF0D8" w14:textId="77777777" w:rsidR="009344E5" w:rsidRDefault="009344E5" w:rsidP="009344E5">
      <w:pPr>
        <w:spacing w:after="20"/>
        <w:ind w:left="340"/>
      </w:pPr>
      <w:r>
        <w:t>• Infection Prevention and Control standards</w:t>
      </w:r>
    </w:p>
    <w:p w14:paraId="06633C7B" w14:textId="4C267D67" w:rsidR="009344E5" w:rsidRDefault="009344E5" w:rsidP="009344E5">
      <w:pPr>
        <w:spacing w:after="20"/>
        <w:ind w:left="340"/>
      </w:pPr>
      <w:r>
        <w:t>• COSHH requirements for biological risk</w:t>
      </w:r>
      <w:r w:rsidR="0081779E">
        <w:br/>
      </w:r>
    </w:p>
    <w:p w14:paraId="2813DC07" w14:textId="77777777" w:rsidR="009344E5" w:rsidRDefault="009344E5" w:rsidP="009344E5">
      <w:r>
        <w:t>The assessment should be reviewed:</w:t>
      </w:r>
    </w:p>
    <w:p w14:paraId="1CECCBDE" w14:textId="77777777" w:rsidR="009344E5" w:rsidRDefault="009344E5" w:rsidP="009344E5">
      <w:pPr>
        <w:spacing w:after="20"/>
        <w:ind w:left="340"/>
      </w:pPr>
      <w:r>
        <w:t>• Annually</w:t>
      </w:r>
    </w:p>
    <w:p w14:paraId="4355B686" w14:textId="77777777" w:rsidR="009344E5" w:rsidRDefault="009344E5" w:rsidP="009344E5">
      <w:pPr>
        <w:spacing w:after="20"/>
        <w:ind w:left="340"/>
      </w:pPr>
      <w:r>
        <w:t>• Following any incident or exposure</w:t>
      </w:r>
    </w:p>
    <w:p w14:paraId="4A481955" w14:textId="77777777" w:rsidR="009344E5" w:rsidRDefault="009344E5" w:rsidP="009344E5">
      <w:pPr>
        <w:spacing w:after="20"/>
        <w:ind w:left="340"/>
      </w:pPr>
      <w:r>
        <w:t>• If the staff member’s role changes</w:t>
      </w:r>
    </w:p>
    <w:p w14:paraId="4B00A5E0" w14:textId="77777777" w:rsidR="009344E5" w:rsidRDefault="009344E5" w:rsidP="009344E5"/>
    <w:p w14:paraId="72E84D9A" w14:textId="77777777" w:rsidR="009344E5" w:rsidRDefault="009344E5" w:rsidP="009344E5">
      <w:pPr>
        <w:pStyle w:val="SectionHeading"/>
      </w:pPr>
      <w:r>
        <w:t>9. Sign Off</w:t>
      </w:r>
    </w:p>
    <w:tbl>
      <w:tblPr>
        <w:tblStyle w:val="TableGrid"/>
        <w:tblW w:w="0" w:type="auto"/>
        <w:jc w:val="center"/>
        <w:tblLook w:val="04A0" w:firstRow="1" w:lastRow="0" w:firstColumn="1" w:lastColumn="0" w:noHBand="0" w:noVBand="1"/>
      </w:tblPr>
      <w:tblGrid>
        <w:gridCol w:w="5096"/>
        <w:gridCol w:w="5094"/>
      </w:tblGrid>
      <w:tr w:rsidR="009344E5" w14:paraId="2EF8C902" w14:textId="77777777" w:rsidTr="00485D9A">
        <w:trPr>
          <w:jc w:val="center"/>
        </w:trPr>
        <w:tc>
          <w:tcPr>
            <w:tcW w:w="5100" w:type="dxa"/>
            <w:shd w:val="clear" w:color="auto" w:fill="D9EAF7"/>
            <w:vAlign w:val="center"/>
          </w:tcPr>
          <w:p w14:paraId="54F5F4DF" w14:textId="77777777" w:rsidR="009344E5" w:rsidRDefault="009344E5" w:rsidP="00485D9A">
            <w:r>
              <w:rPr>
                <w:rFonts w:ascii="Aptos" w:hAnsi="Aptos"/>
                <w:b/>
                <w:sz w:val="21"/>
              </w:rPr>
              <w:t>Assessor</w:t>
            </w:r>
          </w:p>
        </w:tc>
        <w:tc>
          <w:tcPr>
            <w:tcW w:w="5100" w:type="dxa"/>
            <w:vAlign w:val="center"/>
          </w:tcPr>
          <w:p w14:paraId="7ABFE673" w14:textId="77777777" w:rsidR="009344E5" w:rsidRDefault="009344E5" w:rsidP="00485D9A">
            <w:r>
              <w:rPr>
                <w:rFonts w:ascii="Aptos" w:hAnsi="Aptos"/>
                <w:sz w:val="21"/>
              </w:rPr>
              <w:t xml:space="preserve">     </w:t>
            </w:r>
          </w:p>
        </w:tc>
      </w:tr>
      <w:tr w:rsidR="009344E5" w14:paraId="0E6306A7" w14:textId="77777777" w:rsidTr="00485D9A">
        <w:trPr>
          <w:jc w:val="center"/>
        </w:trPr>
        <w:tc>
          <w:tcPr>
            <w:tcW w:w="5100" w:type="dxa"/>
            <w:shd w:val="clear" w:color="auto" w:fill="D9EAF7"/>
            <w:vAlign w:val="center"/>
          </w:tcPr>
          <w:p w14:paraId="194415B0" w14:textId="77777777" w:rsidR="009344E5" w:rsidRDefault="009344E5" w:rsidP="00485D9A">
            <w:r>
              <w:rPr>
                <w:rFonts w:ascii="Aptos" w:hAnsi="Aptos"/>
                <w:b/>
                <w:sz w:val="21"/>
              </w:rPr>
              <w:t>Signature</w:t>
            </w:r>
          </w:p>
        </w:tc>
        <w:tc>
          <w:tcPr>
            <w:tcW w:w="5100" w:type="dxa"/>
            <w:vAlign w:val="center"/>
          </w:tcPr>
          <w:p w14:paraId="6400D11C" w14:textId="77777777" w:rsidR="009344E5" w:rsidRDefault="009344E5" w:rsidP="00485D9A">
            <w:r>
              <w:rPr>
                <w:rFonts w:ascii="Aptos" w:hAnsi="Aptos"/>
                <w:sz w:val="21"/>
              </w:rPr>
              <w:t xml:space="preserve">     </w:t>
            </w:r>
          </w:p>
        </w:tc>
      </w:tr>
      <w:tr w:rsidR="009344E5" w14:paraId="2A607590" w14:textId="77777777" w:rsidTr="00485D9A">
        <w:trPr>
          <w:jc w:val="center"/>
        </w:trPr>
        <w:tc>
          <w:tcPr>
            <w:tcW w:w="5100" w:type="dxa"/>
            <w:shd w:val="clear" w:color="auto" w:fill="D9EAF7"/>
            <w:vAlign w:val="center"/>
          </w:tcPr>
          <w:p w14:paraId="0802E23A" w14:textId="77777777" w:rsidR="009344E5" w:rsidRDefault="009344E5" w:rsidP="00485D9A">
            <w:r>
              <w:rPr>
                <w:rFonts w:ascii="Aptos" w:hAnsi="Aptos"/>
                <w:b/>
                <w:sz w:val="21"/>
              </w:rPr>
              <w:t>Date</w:t>
            </w:r>
          </w:p>
        </w:tc>
        <w:tc>
          <w:tcPr>
            <w:tcW w:w="5100" w:type="dxa"/>
            <w:vAlign w:val="center"/>
          </w:tcPr>
          <w:p w14:paraId="71AD8F54" w14:textId="77777777" w:rsidR="009344E5" w:rsidRDefault="009344E5" w:rsidP="00485D9A">
            <w:r>
              <w:rPr>
                <w:rFonts w:ascii="Aptos" w:hAnsi="Aptos"/>
                <w:sz w:val="21"/>
              </w:rPr>
              <w:t xml:space="preserve">     </w:t>
            </w:r>
          </w:p>
        </w:tc>
      </w:tr>
      <w:tr w:rsidR="009344E5" w14:paraId="1DAC396F" w14:textId="77777777" w:rsidTr="00485D9A">
        <w:trPr>
          <w:jc w:val="center"/>
        </w:trPr>
        <w:tc>
          <w:tcPr>
            <w:tcW w:w="5100" w:type="dxa"/>
            <w:shd w:val="clear" w:color="auto" w:fill="D9EAF7"/>
            <w:vAlign w:val="center"/>
          </w:tcPr>
          <w:p w14:paraId="518AEC74" w14:textId="77777777" w:rsidR="009344E5" w:rsidRDefault="009344E5" w:rsidP="00485D9A">
            <w:r>
              <w:rPr>
                <w:rFonts w:ascii="Aptos" w:hAnsi="Aptos"/>
                <w:b/>
                <w:sz w:val="21"/>
              </w:rPr>
              <w:t>Review Date</w:t>
            </w:r>
          </w:p>
        </w:tc>
        <w:tc>
          <w:tcPr>
            <w:tcW w:w="5100" w:type="dxa"/>
            <w:vAlign w:val="center"/>
          </w:tcPr>
          <w:p w14:paraId="599E017F" w14:textId="77777777" w:rsidR="009344E5" w:rsidRDefault="009344E5" w:rsidP="00485D9A">
            <w:r>
              <w:rPr>
                <w:rFonts w:ascii="Aptos" w:hAnsi="Aptos"/>
                <w:sz w:val="21"/>
              </w:rPr>
              <w:t xml:space="preserve">     </w:t>
            </w:r>
          </w:p>
        </w:tc>
      </w:tr>
    </w:tbl>
    <w:p w14:paraId="5B224A61" w14:textId="77777777" w:rsidR="004A70C3" w:rsidRPr="004A70C3" w:rsidRDefault="004A70C3" w:rsidP="005774C6"/>
    <w:sectPr w:rsidR="004A70C3" w:rsidRPr="004A70C3" w:rsidSect="009344E5">
      <w:footerReference w:type="default" r:id="rId10"/>
      <w:pgSz w:w="12240" w:h="15840"/>
      <w:pgMar w:top="964" w:right="1020" w:bottom="964"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31602" w14:textId="77777777" w:rsidR="00457B06" w:rsidRDefault="00457B06" w:rsidP="006D45E2">
      <w:pPr>
        <w:spacing w:after="0" w:line="240" w:lineRule="auto"/>
      </w:pPr>
      <w:r>
        <w:separator/>
      </w:r>
    </w:p>
  </w:endnote>
  <w:endnote w:type="continuationSeparator" w:id="0">
    <w:p w14:paraId="67FE9F50" w14:textId="77777777" w:rsidR="00457B06" w:rsidRDefault="00457B06" w:rsidP="006D4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EED5E" w14:textId="77777777" w:rsidR="009344E5" w:rsidRDefault="009344E5">
    <w:pPr>
      <w:pStyle w:val="Footer"/>
      <w:jc w:val="center"/>
    </w:pPr>
    <w:r>
      <w:rPr>
        <w:color w:val="787878"/>
        <w:sz w:val="16"/>
      </w:rPr>
      <w:t>Hepatitis B Vaccination Risk Assessment Checklist – Non-Clinical Staff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2E539" w14:textId="77777777" w:rsidR="00457B06" w:rsidRDefault="00457B06" w:rsidP="006D45E2">
      <w:pPr>
        <w:spacing w:after="0" w:line="240" w:lineRule="auto"/>
      </w:pPr>
      <w:r>
        <w:separator/>
      </w:r>
    </w:p>
  </w:footnote>
  <w:footnote w:type="continuationSeparator" w:id="0">
    <w:p w14:paraId="0BF13B5B" w14:textId="77777777" w:rsidR="00457B06" w:rsidRDefault="00457B06" w:rsidP="006D4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5D3B"/>
    <w:multiLevelType w:val="multilevel"/>
    <w:tmpl w:val="D8D2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F6E28"/>
    <w:multiLevelType w:val="multilevel"/>
    <w:tmpl w:val="63BA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C3F20"/>
    <w:multiLevelType w:val="multilevel"/>
    <w:tmpl w:val="E42A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53184"/>
    <w:multiLevelType w:val="multilevel"/>
    <w:tmpl w:val="9104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01B6B"/>
    <w:multiLevelType w:val="multilevel"/>
    <w:tmpl w:val="3CD89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C5B2A"/>
    <w:multiLevelType w:val="hybridMultilevel"/>
    <w:tmpl w:val="658AD8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98294F"/>
    <w:multiLevelType w:val="multilevel"/>
    <w:tmpl w:val="D5B4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069AD"/>
    <w:multiLevelType w:val="hybridMultilevel"/>
    <w:tmpl w:val="C5F865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F439AF"/>
    <w:multiLevelType w:val="multilevel"/>
    <w:tmpl w:val="5DE4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A710EF"/>
    <w:multiLevelType w:val="multilevel"/>
    <w:tmpl w:val="9EBA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636B1F"/>
    <w:multiLevelType w:val="multilevel"/>
    <w:tmpl w:val="859E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1740"/>
    <w:multiLevelType w:val="multilevel"/>
    <w:tmpl w:val="617A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F07A4F"/>
    <w:multiLevelType w:val="multilevel"/>
    <w:tmpl w:val="D288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A04DE6"/>
    <w:multiLevelType w:val="hybridMultilevel"/>
    <w:tmpl w:val="8F04F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9F66B7"/>
    <w:multiLevelType w:val="multilevel"/>
    <w:tmpl w:val="975C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9317E"/>
    <w:multiLevelType w:val="multilevel"/>
    <w:tmpl w:val="D438F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CE703B"/>
    <w:multiLevelType w:val="hybridMultilevel"/>
    <w:tmpl w:val="C2EEA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DF5696"/>
    <w:multiLevelType w:val="multilevel"/>
    <w:tmpl w:val="F208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D76990"/>
    <w:multiLevelType w:val="multilevel"/>
    <w:tmpl w:val="0C9A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C22206"/>
    <w:multiLevelType w:val="multilevel"/>
    <w:tmpl w:val="F100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F701F"/>
    <w:multiLevelType w:val="multilevel"/>
    <w:tmpl w:val="5E1A9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5A2A90"/>
    <w:multiLevelType w:val="multilevel"/>
    <w:tmpl w:val="2AEE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AF2C6C"/>
    <w:multiLevelType w:val="multilevel"/>
    <w:tmpl w:val="AF00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555B80"/>
    <w:multiLevelType w:val="multilevel"/>
    <w:tmpl w:val="29E83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0244F4"/>
    <w:multiLevelType w:val="hybridMultilevel"/>
    <w:tmpl w:val="1E3AE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623F3"/>
    <w:multiLevelType w:val="multilevel"/>
    <w:tmpl w:val="C1487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DD7390"/>
    <w:multiLevelType w:val="multilevel"/>
    <w:tmpl w:val="6BCC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3F2B80"/>
    <w:multiLevelType w:val="multilevel"/>
    <w:tmpl w:val="23C0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5B576C"/>
    <w:multiLevelType w:val="hybridMultilevel"/>
    <w:tmpl w:val="40A08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7B7EE0"/>
    <w:multiLevelType w:val="multilevel"/>
    <w:tmpl w:val="6D246F68"/>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58282F70"/>
    <w:multiLevelType w:val="multilevel"/>
    <w:tmpl w:val="3518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36262A"/>
    <w:multiLevelType w:val="multilevel"/>
    <w:tmpl w:val="8FD6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FC646E"/>
    <w:multiLevelType w:val="multilevel"/>
    <w:tmpl w:val="15A8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B903F7"/>
    <w:multiLevelType w:val="multilevel"/>
    <w:tmpl w:val="87DA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6E3CFF"/>
    <w:multiLevelType w:val="hybridMultilevel"/>
    <w:tmpl w:val="A524E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FBC7902"/>
    <w:multiLevelType w:val="multilevel"/>
    <w:tmpl w:val="1228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1852D6"/>
    <w:multiLevelType w:val="hybridMultilevel"/>
    <w:tmpl w:val="5F3E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553A34"/>
    <w:multiLevelType w:val="multilevel"/>
    <w:tmpl w:val="2D16F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6454D3"/>
    <w:multiLevelType w:val="multilevel"/>
    <w:tmpl w:val="D722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01036F"/>
    <w:multiLevelType w:val="multilevel"/>
    <w:tmpl w:val="D3AC2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6D63E3"/>
    <w:multiLevelType w:val="hybridMultilevel"/>
    <w:tmpl w:val="B1AE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7142530">
    <w:abstractNumId w:val="29"/>
  </w:num>
  <w:num w:numId="2" w16cid:durableId="1643122714">
    <w:abstractNumId w:val="40"/>
  </w:num>
  <w:num w:numId="3" w16cid:durableId="1812823501">
    <w:abstractNumId w:val="1"/>
  </w:num>
  <w:num w:numId="4" w16cid:durableId="440995921">
    <w:abstractNumId w:val="7"/>
  </w:num>
  <w:num w:numId="5" w16cid:durableId="1936935409">
    <w:abstractNumId w:val="14"/>
  </w:num>
  <w:num w:numId="6" w16cid:durableId="1651324620">
    <w:abstractNumId w:val="34"/>
  </w:num>
  <w:num w:numId="7" w16cid:durableId="816841222">
    <w:abstractNumId w:val="30"/>
  </w:num>
  <w:num w:numId="8" w16cid:durableId="660734372">
    <w:abstractNumId w:val="5"/>
  </w:num>
  <w:num w:numId="9" w16cid:durableId="272634022">
    <w:abstractNumId w:val="27"/>
  </w:num>
  <w:num w:numId="10" w16cid:durableId="972444926">
    <w:abstractNumId w:val="28"/>
  </w:num>
  <w:num w:numId="11" w16cid:durableId="1364281655">
    <w:abstractNumId w:val="8"/>
  </w:num>
  <w:num w:numId="12" w16cid:durableId="694354187">
    <w:abstractNumId w:val="13"/>
  </w:num>
  <w:num w:numId="13" w16cid:durableId="1454707526">
    <w:abstractNumId w:val="15"/>
  </w:num>
  <w:num w:numId="14" w16cid:durableId="1963342462">
    <w:abstractNumId w:val="3"/>
  </w:num>
  <w:num w:numId="15" w16cid:durableId="481507047">
    <w:abstractNumId w:val="6"/>
  </w:num>
  <w:num w:numId="16" w16cid:durableId="473064394">
    <w:abstractNumId w:val="0"/>
  </w:num>
  <w:num w:numId="17" w16cid:durableId="19820892">
    <w:abstractNumId w:val="22"/>
  </w:num>
  <w:num w:numId="18" w16cid:durableId="564100539">
    <w:abstractNumId w:val="17"/>
  </w:num>
  <w:num w:numId="19" w16cid:durableId="827213572">
    <w:abstractNumId w:val="19"/>
  </w:num>
  <w:num w:numId="20" w16cid:durableId="197552426">
    <w:abstractNumId w:val="9"/>
  </w:num>
  <w:num w:numId="21" w16cid:durableId="1618634085">
    <w:abstractNumId w:val="11"/>
  </w:num>
  <w:num w:numId="22" w16cid:durableId="425929162">
    <w:abstractNumId w:val="12"/>
  </w:num>
  <w:num w:numId="23" w16cid:durableId="960843710">
    <w:abstractNumId w:val="32"/>
  </w:num>
  <w:num w:numId="24" w16cid:durableId="946280113">
    <w:abstractNumId w:val="39"/>
  </w:num>
  <w:num w:numId="25" w16cid:durableId="144665312">
    <w:abstractNumId w:val="23"/>
  </w:num>
  <w:num w:numId="26" w16cid:durableId="311103206">
    <w:abstractNumId w:val="38"/>
  </w:num>
  <w:num w:numId="27" w16cid:durableId="1485972637">
    <w:abstractNumId w:val="31"/>
  </w:num>
  <w:num w:numId="28" w16cid:durableId="703168431">
    <w:abstractNumId w:val="25"/>
  </w:num>
  <w:num w:numId="29" w16cid:durableId="418186405">
    <w:abstractNumId w:val="20"/>
  </w:num>
  <w:num w:numId="30" w16cid:durableId="1318873444">
    <w:abstractNumId w:val="33"/>
  </w:num>
  <w:num w:numId="31" w16cid:durableId="790049203">
    <w:abstractNumId w:val="35"/>
  </w:num>
  <w:num w:numId="32" w16cid:durableId="1861234059">
    <w:abstractNumId w:val="18"/>
  </w:num>
  <w:num w:numId="33" w16cid:durableId="1580090872">
    <w:abstractNumId w:val="37"/>
  </w:num>
  <w:num w:numId="34" w16cid:durableId="1256790182">
    <w:abstractNumId w:val="2"/>
  </w:num>
  <w:num w:numId="35" w16cid:durableId="1889222007">
    <w:abstractNumId w:val="21"/>
  </w:num>
  <w:num w:numId="36" w16cid:durableId="364716139">
    <w:abstractNumId w:val="10"/>
  </w:num>
  <w:num w:numId="37" w16cid:durableId="353967045">
    <w:abstractNumId w:val="26"/>
  </w:num>
  <w:num w:numId="38" w16cid:durableId="96757583">
    <w:abstractNumId w:val="4"/>
  </w:num>
  <w:num w:numId="39" w16cid:durableId="584073712">
    <w:abstractNumId w:val="24"/>
  </w:num>
  <w:num w:numId="40" w16cid:durableId="943221084">
    <w:abstractNumId w:val="16"/>
  </w:num>
  <w:num w:numId="41" w16cid:durableId="85839887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43D"/>
    <w:rsid w:val="00085FEB"/>
    <w:rsid w:val="00117119"/>
    <w:rsid w:val="00121CBB"/>
    <w:rsid w:val="001D64B4"/>
    <w:rsid w:val="00236481"/>
    <w:rsid w:val="002465C7"/>
    <w:rsid w:val="0029049A"/>
    <w:rsid w:val="002B05EE"/>
    <w:rsid w:val="002B7286"/>
    <w:rsid w:val="003173CE"/>
    <w:rsid w:val="00334C91"/>
    <w:rsid w:val="003478B3"/>
    <w:rsid w:val="00424E78"/>
    <w:rsid w:val="00457B06"/>
    <w:rsid w:val="0046455D"/>
    <w:rsid w:val="00475BC1"/>
    <w:rsid w:val="004A70C3"/>
    <w:rsid w:val="004C6A65"/>
    <w:rsid w:val="00505ACC"/>
    <w:rsid w:val="00516E7C"/>
    <w:rsid w:val="005177C7"/>
    <w:rsid w:val="005774C6"/>
    <w:rsid w:val="00595289"/>
    <w:rsid w:val="005B0A01"/>
    <w:rsid w:val="005C21B9"/>
    <w:rsid w:val="005E66DF"/>
    <w:rsid w:val="0062640E"/>
    <w:rsid w:val="00627BCF"/>
    <w:rsid w:val="0063692A"/>
    <w:rsid w:val="006407A0"/>
    <w:rsid w:val="006A178D"/>
    <w:rsid w:val="006B0740"/>
    <w:rsid w:val="006D45E2"/>
    <w:rsid w:val="007253A4"/>
    <w:rsid w:val="00737D35"/>
    <w:rsid w:val="00772B60"/>
    <w:rsid w:val="007C44EF"/>
    <w:rsid w:val="007D3E40"/>
    <w:rsid w:val="007E19CE"/>
    <w:rsid w:val="007F0342"/>
    <w:rsid w:val="0081779E"/>
    <w:rsid w:val="00841629"/>
    <w:rsid w:val="0086201F"/>
    <w:rsid w:val="00887229"/>
    <w:rsid w:val="008F5358"/>
    <w:rsid w:val="009344E5"/>
    <w:rsid w:val="00977194"/>
    <w:rsid w:val="009805DC"/>
    <w:rsid w:val="009E7033"/>
    <w:rsid w:val="009F6B03"/>
    <w:rsid w:val="00A056E3"/>
    <w:rsid w:val="00A46828"/>
    <w:rsid w:val="00A8143D"/>
    <w:rsid w:val="00AD5D42"/>
    <w:rsid w:val="00AD6906"/>
    <w:rsid w:val="00B01F1D"/>
    <w:rsid w:val="00B43AAB"/>
    <w:rsid w:val="00BE0B68"/>
    <w:rsid w:val="00BF3641"/>
    <w:rsid w:val="00C11319"/>
    <w:rsid w:val="00C424AE"/>
    <w:rsid w:val="00C42679"/>
    <w:rsid w:val="00C57712"/>
    <w:rsid w:val="00C84E74"/>
    <w:rsid w:val="00C9294F"/>
    <w:rsid w:val="00CD2387"/>
    <w:rsid w:val="00D45C0A"/>
    <w:rsid w:val="00DB4E81"/>
    <w:rsid w:val="00DF1EBC"/>
    <w:rsid w:val="00E16339"/>
    <w:rsid w:val="00E56EEE"/>
    <w:rsid w:val="00E63B51"/>
    <w:rsid w:val="00ED3637"/>
    <w:rsid w:val="00EF27DF"/>
    <w:rsid w:val="00F13DFE"/>
    <w:rsid w:val="00F41BEF"/>
    <w:rsid w:val="00F71B76"/>
    <w:rsid w:val="00FA3F9B"/>
    <w:rsid w:val="00FA7308"/>
    <w:rsid w:val="00FF5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BA80A"/>
  <w15:chartTrackingRefBased/>
  <w15:docId w15:val="{934D4044-56C0-4AF6-8062-1AF2BA594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1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1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1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1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1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1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43D"/>
    <w:rPr>
      <w:rFonts w:eastAsiaTheme="majorEastAsia" w:cstheme="majorBidi"/>
      <w:color w:val="272727" w:themeColor="text1" w:themeTint="D8"/>
    </w:rPr>
  </w:style>
  <w:style w:type="paragraph" w:styleId="Title">
    <w:name w:val="Title"/>
    <w:basedOn w:val="Normal"/>
    <w:next w:val="Normal"/>
    <w:link w:val="TitleChar"/>
    <w:uiPriority w:val="10"/>
    <w:qFormat/>
    <w:rsid w:val="00A81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43D"/>
    <w:pPr>
      <w:spacing w:before="160"/>
      <w:jc w:val="center"/>
    </w:pPr>
    <w:rPr>
      <w:i/>
      <w:iCs/>
      <w:color w:val="404040" w:themeColor="text1" w:themeTint="BF"/>
    </w:rPr>
  </w:style>
  <w:style w:type="character" w:customStyle="1" w:styleId="QuoteChar">
    <w:name w:val="Quote Char"/>
    <w:basedOn w:val="DefaultParagraphFont"/>
    <w:link w:val="Quote"/>
    <w:uiPriority w:val="29"/>
    <w:rsid w:val="00A8143D"/>
    <w:rPr>
      <w:i/>
      <w:iCs/>
      <w:color w:val="404040" w:themeColor="text1" w:themeTint="BF"/>
    </w:rPr>
  </w:style>
  <w:style w:type="paragraph" w:styleId="ListParagraph">
    <w:name w:val="List Paragraph"/>
    <w:basedOn w:val="Normal"/>
    <w:uiPriority w:val="34"/>
    <w:qFormat/>
    <w:rsid w:val="00A8143D"/>
    <w:pPr>
      <w:ind w:left="720"/>
      <w:contextualSpacing/>
    </w:pPr>
  </w:style>
  <w:style w:type="character" w:styleId="IntenseEmphasis">
    <w:name w:val="Intense Emphasis"/>
    <w:basedOn w:val="DefaultParagraphFont"/>
    <w:uiPriority w:val="21"/>
    <w:qFormat/>
    <w:rsid w:val="00A8143D"/>
    <w:rPr>
      <w:i/>
      <w:iCs/>
      <w:color w:val="0F4761" w:themeColor="accent1" w:themeShade="BF"/>
    </w:rPr>
  </w:style>
  <w:style w:type="paragraph" w:styleId="IntenseQuote">
    <w:name w:val="Intense Quote"/>
    <w:basedOn w:val="Normal"/>
    <w:next w:val="Normal"/>
    <w:link w:val="IntenseQuoteChar"/>
    <w:uiPriority w:val="30"/>
    <w:qFormat/>
    <w:rsid w:val="00A81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43D"/>
    <w:rPr>
      <w:i/>
      <w:iCs/>
      <w:color w:val="0F4761" w:themeColor="accent1" w:themeShade="BF"/>
    </w:rPr>
  </w:style>
  <w:style w:type="character" w:styleId="IntenseReference">
    <w:name w:val="Intense Reference"/>
    <w:basedOn w:val="DefaultParagraphFont"/>
    <w:uiPriority w:val="32"/>
    <w:qFormat/>
    <w:rsid w:val="00A8143D"/>
    <w:rPr>
      <w:b/>
      <w:bCs/>
      <w:smallCaps/>
      <w:color w:val="0F4761" w:themeColor="accent1" w:themeShade="BF"/>
      <w:spacing w:val="5"/>
    </w:rPr>
  </w:style>
  <w:style w:type="table" w:styleId="TableGrid">
    <w:name w:val="Table Grid"/>
    <w:basedOn w:val="TableNormal"/>
    <w:uiPriority w:val="59"/>
    <w:rsid w:val="00A81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814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5B0A0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BodyText">
    <w:name w:val="Body Text"/>
    <w:basedOn w:val="Normal"/>
    <w:link w:val="BodyTextChar"/>
    <w:uiPriority w:val="1"/>
    <w:qFormat/>
    <w:rsid w:val="00117119"/>
    <w:pPr>
      <w:widowControl w:val="0"/>
      <w:autoSpaceDE w:val="0"/>
      <w:autoSpaceDN w:val="0"/>
      <w:spacing w:after="0" w:line="240" w:lineRule="auto"/>
    </w:pPr>
    <w:rPr>
      <w:rFonts w:ascii="Calibri" w:eastAsia="Calibri" w:hAnsi="Calibri" w:cs="Calibri"/>
      <w:kern w:val="0"/>
      <w:sz w:val="24"/>
      <w:szCs w:val="24"/>
      <w:lang w:val="en-US" w:bidi="en-US"/>
      <w14:ligatures w14:val="none"/>
    </w:rPr>
  </w:style>
  <w:style w:type="character" w:customStyle="1" w:styleId="BodyTextChar">
    <w:name w:val="Body Text Char"/>
    <w:basedOn w:val="DefaultParagraphFont"/>
    <w:link w:val="BodyText"/>
    <w:uiPriority w:val="1"/>
    <w:rsid w:val="00117119"/>
    <w:rPr>
      <w:rFonts w:ascii="Calibri" w:eastAsia="Calibri" w:hAnsi="Calibri" w:cs="Calibri"/>
      <w:kern w:val="0"/>
      <w:sz w:val="24"/>
      <w:szCs w:val="24"/>
      <w:lang w:val="en-US" w:bidi="en-US"/>
      <w14:ligatures w14:val="none"/>
    </w:rPr>
  </w:style>
  <w:style w:type="paragraph" w:customStyle="1" w:styleId="TableParagraph">
    <w:name w:val="Table Paragraph"/>
    <w:basedOn w:val="Normal"/>
    <w:uiPriority w:val="1"/>
    <w:qFormat/>
    <w:rsid w:val="00117119"/>
    <w:pPr>
      <w:widowControl w:val="0"/>
      <w:autoSpaceDE w:val="0"/>
      <w:autoSpaceDN w:val="0"/>
      <w:spacing w:after="0" w:line="240" w:lineRule="auto"/>
    </w:pPr>
    <w:rPr>
      <w:rFonts w:ascii="Calibri" w:eastAsia="Calibri" w:hAnsi="Calibri" w:cs="Calibri"/>
      <w:kern w:val="0"/>
      <w:lang w:val="en-US" w:bidi="en-US"/>
      <w14:ligatures w14:val="none"/>
    </w:rPr>
  </w:style>
  <w:style w:type="paragraph" w:styleId="Header">
    <w:name w:val="header"/>
    <w:basedOn w:val="Normal"/>
    <w:link w:val="HeaderChar"/>
    <w:uiPriority w:val="99"/>
    <w:unhideWhenUsed/>
    <w:rsid w:val="006D4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5E2"/>
  </w:style>
  <w:style w:type="paragraph" w:styleId="Footer">
    <w:name w:val="footer"/>
    <w:basedOn w:val="Normal"/>
    <w:link w:val="FooterChar"/>
    <w:uiPriority w:val="99"/>
    <w:unhideWhenUsed/>
    <w:rsid w:val="006D4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5E2"/>
  </w:style>
  <w:style w:type="paragraph" w:customStyle="1" w:styleId="DocTitle">
    <w:name w:val="Doc Title"/>
    <w:basedOn w:val="Normal"/>
    <w:rsid w:val="009344E5"/>
    <w:pPr>
      <w:spacing w:after="60" w:line="276" w:lineRule="auto"/>
    </w:pPr>
    <w:rPr>
      <w:rFonts w:ascii="Aptos" w:eastAsiaTheme="minorEastAsia" w:hAnsi="Aptos"/>
      <w:b/>
      <w:color w:val="1F4E79"/>
      <w:kern w:val="0"/>
      <w:sz w:val="34"/>
      <w:lang w:val="en-US"/>
      <w14:ligatures w14:val="none"/>
    </w:rPr>
  </w:style>
  <w:style w:type="paragraph" w:customStyle="1" w:styleId="DocSubtitle">
    <w:name w:val="Doc Subtitle"/>
    <w:basedOn w:val="Normal"/>
    <w:rsid w:val="009344E5"/>
    <w:pPr>
      <w:spacing w:after="200" w:line="276" w:lineRule="auto"/>
    </w:pPr>
    <w:rPr>
      <w:rFonts w:ascii="Aptos" w:eastAsiaTheme="minorEastAsia" w:hAnsi="Aptos"/>
      <w:color w:val="646464"/>
      <w:kern w:val="0"/>
      <w:sz w:val="21"/>
      <w:lang w:val="en-US"/>
      <w14:ligatures w14:val="none"/>
    </w:rPr>
  </w:style>
  <w:style w:type="paragraph" w:customStyle="1" w:styleId="SectionHeading">
    <w:name w:val="Section Heading"/>
    <w:basedOn w:val="Normal"/>
    <w:rsid w:val="009344E5"/>
    <w:pPr>
      <w:spacing w:before="160" w:after="80" w:line="276" w:lineRule="auto"/>
    </w:pPr>
    <w:rPr>
      <w:rFonts w:ascii="Aptos" w:eastAsiaTheme="minorEastAsia" w:hAnsi="Aptos"/>
      <w:b/>
      <w:color w:val="1F4E79"/>
      <w:kern w:val="0"/>
      <w:sz w:val="25"/>
      <w:lang w:val="en-US"/>
      <w14:ligatures w14:val="none"/>
    </w:rPr>
  </w:style>
  <w:style w:type="paragraph" w:customStyle="1" w:styleId="SmallNote">
    <w:name w:val="Small Note"/>
    <w:basedOn w:val="Normal"/>
    <w:rsid w:val="009344E5"/>
    <w:pPr>
      <w:spacing w:after="80" w:line="276" w:lineRule="auto"/>
    </w:pPr>
    <w:rPr>
      <w:rFonts w:ascii="Aptos" w:eastAsiaTheme="minorEastAsia" w:hAnsi="Aptos"/>
      <w:color w:val="5A5A5A"/>
      <w:kern w:val="0"/>
      <w:sz w:val="19"/>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8B8A8C869DAC45A3308583CE5028F7" ma:contentTypeVersion="9" ma:contentTypeDescription="Create a new document." ma:contentTypeScope="" ma:versionID="42153093d45eb6b87144f8fdab7b6b74">
  <xsd:schema xmlns:xsd="http://www.w3.org/2001/XMLSchema" xmlns:xs="http://www.w3.org/2001/XMLSchema" xmlns:p="http://schemas.microsoft.com/office/2006/metadata/properties" xmlns:ns2="50554d83-e1eb-46cf-a385-a4b2f5d60db3" xmlns:ns3="48910432-6e73-4eb6-b47b-5c01b7c529a8" targetNamespace="http://schemas.microsoft.com/office/2006/metadata/properties" ma:root="true" ma:fieldsID="c50ab22467ea82400f2870159b0db800" ns2:_="" ns3:_="">
    <xsd:import namespace="50554d83-e1eb-46cf-a385-a4b2f5d60db3"/>
    <xsd:import namespace="48910432-6e73-4eb6-b47b-5c01b7c529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554d83-e1eb-46cf-a385-a4b2f5d60d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910432-6e73-4eb6-b47b-5c01b7c529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A51F4A-8941-4214-8D2B-C35A1EEF21C0}">
  <ds:schemaRefs>
    <ds:schemaRef ds:uri="http://schemas.microsoft.com/sharepoint/v3/contenttype/forms"/>
  </ds:schemaRefs>
</ds:datastoreItem>
</file>

<file path=customXml/itemProps2.xml><?xml version="1.0" encoding="utf-8"?>
<ds:datastoreItem xmlns:ds="http://schemas.openxmlformats.org/officeDocument/2006/customXml" ds:itemID="{4FA6B32A-8B6A-4907-91F4-701E1C688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554d83-e1eb-46cf-a385-a4b2f5d60db3"/>
    <ds:schemaRef ds:uri="48910432-6e73-4eb6-b47b-5c01b7c529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D63DEB-6C53-4479-B0E2-6276C3FCEF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1580</Words>
  <Characters>9012</Characters>
  <Application>Microsoft Office Word</Application>
  <DocSecurity>0</DocSecurity>
  <Lines>75</Lines>
  <Paragraphs>21</Paragraphs>
  <ScaleCrop>false</ScaleCrop>
  <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Haresign, Benjamin</dc:creator>
  <cp:keywords/>
  <dc:description/>
  <cp:lastModifiedBy>Haresign, Benjamin</cp:lastModifiedBy>
  <cp:revision>2</cp:revision>
  <dcterms:created xsi:type="dcterms:W3CDTF">2026-04-22T09:37:00Z</dcterms:created>
  <dcterms:modified xsi:type="dcterms:W3CDTF">2026-04-22T09:37:00Z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0x0101002E8B8A8C869DAC45A3308583CE5028F7</vt:lpwstr>
  </property>
</Properties>
</file>